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60" w:lineRule="atLeast"/>
        <w:rPr>
          <w:rFonts w:ascii="微软雅黑" w:hAnsi="微软雅黑" w:eastAsia="微软雅黑" w:cs="宋体"/>
          <w:color w:val="000000"/>
          <w:kern w:val="0"/>
          <w:sz w:val="27"/>
          <w:szCs w:val="27"/>
        </w:rPr>
      </w:pPr>
      <w:bookmarkStart w:id="0" w:name="_GoBack"/>
      <w:bookmarkEnd w:id="0"/>
      <w:r>
        <w:rPr>
          <w:rFonts w:eastAsia="微软雅黑" w:cs="Calibri"/>
          <w:color w:val="000000"/>
          <w:kern w:val="0"/>
          <w:szCs w:val="21"/>
        </w:rPr>
        <w:t> </w:t>
      </w:r>
      <w:r>
        <w:rPr>
          <w:rFonts w:hint="eastAsia" w:ascii="仿宋_GB2312" w:hAnsi="宋体" w:eastAsia="仿宋_GB2312" w:cs="宋体"/>
          <w:b/>
          <w:bCs/>
          <w:color w:val="333333"/>
          <w:kern w:val="0"/>
          <w:sz w:val="24"/>
          <w:szCs w:val="24"/>
        </w:rPr>
        <w:t>附件一：</w:t>
      </w:r>
    </w:p>
    <w:p>
      <w:pPr>
        <w:widowControl/>
        <w:shd w:val="clear" w:color="auto" w:fill="FFFFFF"/>
        <w:spacing w:before="100" w:beforeAutospacing="1" w:after="100" w:afterAutospacing="1" w:line="440" w:lineRule="exact"/>
        <w:jc w:val="center"/>
        <w:rPr>
          <w:rFonts w:ascii="宋体" w:cs="宋体"/>
          <w:color w:val="333333"/>
          <w:kern w:val="0"/>
          <w:sz w:val="32"/>
          <w:szCs w:val="32"/>
        </w:rPr>
      </w:pPr>
      <w:r>
        <w:rPr>
          <w:rFonts w:hint="eastAsia" w:ascii="仿宋_GB2312" w:hAnsi="宋体" w:eastAsia="仿宋_GB2312" w:cs="宋体"/>
          <w:b/>
          <w:bCs/>
          <w:color w:val="333333"/>
          <w:kern w:val="0"/>
          <w:sz w:val="32"/>
          <w:szCs w:val="32"/>
        </w:rPr>
        <w:t>报价承诺书</w:t>
      </w:r>
    </w:p>
    <w:p>
      <w:pPr>
        <w:widowControl/>
        <w:shd w:val="clear" w:color="auto" w:fill="FFFFFF"/>
        <w:spacing w:before="100" w:beforeAutospacing="1" w:after="100" w:afterAutospacing="1" w:line="400" w:lineRule="exact"/>
        <w:jc w:val="left"/>
        <w:rPr>
          <w:rFonts w:ascii="宋体" w:cs="宋体"/>
          <w:color w:val="333333"/>
          <w:kern w:val="0"/>
          <w:sz w:val="24"/>
          <w:szCs w:val="24"/>
        </w:rPr>
      </w:pPr>
      <w:r>
        <w:rPr>
          <w:rFonts w:hint="eastAsia" w:ascii="仿宋_GB2312" w:hAnsi="宋体" w:eastAsia="仿宋_GB2312" w:cs="宋体"/>
          <w:color w:val="333333"/>
          <w:kern w:val="0"/>
          <w:sz w:val="24"/>
          <w:szCs w:val="24"/>
        </w:rPr>
        <w:t>启东市人民医院：</w:t>
      </w:r>
    </w:p>
    <w:p>
      <w:pPr>
        <w:widowControl/>
        <w:shd w:val="clear" w:color="auto" w:fill="FFFFFF"/>
        <w:spacing w:before="100" w:beforeAutospacing="1" w:after="100" w:afterAutospacing="1" w:line="400" w:lineRule="exact"/>
        <w:ind w:left="1" w:firstLine="477" w:firstLineChars="199"/>
        <w:jc w:val="left"/>
        <w:rPr>
          <w:rFonts w:ascii="宋体" w:cs="宋体"/>
          <w:color w:val="333333"/>
          <w:kern w:val="0"/>
          <w:sz w:val="24"/>
          <w:szCs w:val="24"/>
        </w:rPr>
      </w:pPr>
      <w:r>
        <w:rPr>
          <w:rFonts w:hint="eastAsia" w:ascii="仿宋_GB2312" w:hAnsi="宋体" w:eastAsia="仿宋_GB2312" w:cs="宋体"/>
          <w:color w:val="333333"/>
          <w:kern w:val="0"/>
          <w:sz w:val="24"/>
          <w:szCs w:val="24"/>
          <w:u w:val="single"/>
        </w:rPr>
        <w:t>（报价单位全称）</w:t>
      </w:r>
      <w:r>
        <w:rPr>
          <w:rFonts w:hint="eastAsia" w:ascii="仿宋_GB2312" w:hAnsi="宋体" w:eastAsia="仿宋_GB2312" w:cs="宋体"/>
          <w:color w:val="333333"/>
          <w:kern w:val="0"/>
          <w:sz w:val="24"/>
          <w:szCs w:val="24"/>
        </w:rPr>
        <w:t>授权</w:t>
      </w:r>
      <w:r>
        <w:rPr>
          <w:rFonts w:hint="eastAsia" w:ascii="仿宋_GB2312" w:hAnsi="宋体" w:eastAsia="仿宋_GB2312" w:cs="宋体"/>
          <w:color w:val="333333"/>
          <w:kern w:val="0"/>
          <w:sz w:val="24"/>
          <w:szCs w:val="24"/>
          <w:u w:val="single"/>
        </w:rPr>
        <w:t>（姓</w:t>
      </w:r>
      <w:r>
        <w:rPr>
          <w:rFonts w:ascii="仿宋_GB2312" w:hAnsi="宋体" w:eastAsia="仿宋_GB2312" w:cs="宋体"/>
          <w:color w:val="333333"/>
          <w:kern w:val="0"/>
          <w:sz w:val="24"/>
          <w:szCs w:val="24"/>
          <w:u w:val="single"/>
        </w:rPr>
        <w:t xml:space="preserve">  </w:t>
      </w:r>
      <w:r>
        <w:rPr>
          <w:rFonts w:hint="eastAsia" w:ascii="仿宋_GB2312" w:hAnsi="宋体" w:eastAsia="仿宋_GB2312" w:cs="宋体"/>
          <w:color w:val="333333"/>
          <w:kern w:val="0"/>
          <w:sz w:val="24"/>
          <w:szCs w:val="24"/>
          <w:u w:val="single"/>
        </w:rPr>
        <w:t>名）（职</w:t>
      </w:r>
      <w:r>
        <w:rPr>
          <w:rFonts w:ascii="仿宋_GB2312" w:hAnsi="宋体" w:eastAsia="仿宋_GB2312" w:cs="宋体"/>
          <w:color w:val="333333"/>
          <w:kern w:val="0"/>
          <w:sz w:val="24"/>
          <w:szCs w:val="24"/>
          <w:u w:val="single"/>
        </w:rPr>
        <w:t xml:space="preserve">  </w:t>
      </w:r>
      <w:r>
        <w:rPr>
          <w:rFonts w:hint="eastAsia" w:ascii="仿宋_GB2312" w:hAnsi="宋体" w:eastAsia="仿宋_GB2312" w:cs="宋体"/>
          <w:color w:val="333333"/>
          <w:kern w:val="0"/>
          <w:sz w:val="24"/>
          <w:szCs w:val="24"/>
          <w:u w:val="single"/>
        </w:rPr>
        <w:t>务）</w:t>
      </w:r>
      <w:r>
        <w:rPr>
          <w:rFonts w:hint="eastAsia" w:ascii="仿宋_GB2312" w:hAnsi="宋体" w:eastAsia="仿宋_GB2312" w:cs="宋体"/>
          <w:color w:val="333333"/>
          <w:kern w:val="0"/>
          <w:sz w:val="24"/>
          <w:szCs w:val="24"/>
        </w:rPr>
        <w:t>为全权代表，参加</w:t>
      </w:r>
      <w:r>
        <w:rPr>
          <w:rFonts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u w:val="single"/>
        </w:rPr>
        <w:t>启东市人民医院负压吸引设备项目</w:t>
      </w:r>
      <w:r>
        <w:rPr>
          <w:rFonts w:hint="eastAsia" w:ascii="仿宋_GB2312" w:hAnsi="宋体" w:eastAsia="仿宋_GB2312" w:cs="宋体"/>
          <w:color w:val="333333"/>
          <w:kern w:val="0"/>
          <w:sz w:val="24"/>
          <w:szCs w:val="24"/>
        </w:rPr>
        <w:t>询价的有关活动，并宣布同意如下：</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1</w:t>
      </w:r>
      <w:r>
        <w:rPr>
          <w:rFonts w:hint="eastAsia" w:ascii="仿宋_GB2312" w:hAnsi="宋体" w:eastAsia="仿宋_GB2312" w:cs="宋体"/>
          <w:color w:val="333333"/>
          <w:kern w:val="0"/>
          <w:sz w:val="24"/>
          <w:szCs w:val="24"/>
        </w:rPr>
        <w:t>．我方愿意按照报价文件的全部要求进行报价（报价内容及价格以报价文件为准）。</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2</w:t>
      </w:r>
      <w:r>
        <w:rPr>
          <w:rFonts w:hint="eastAsia" w:ascii="仿宋_GB2312" w:hAnsi="宋体" w:eastAsia="仿宋_GB2312" w:cs="宋体"/>
          <w:color w:val="333333"/>
          <w:kern w:val="0"/>
          <w:sz w:val="24"/>
          <w:szCs w:val="24"/>
        </w:rPr>
        <w:t>．我方完全理解并同意放弃对询价公告有不明及误解的权利。</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3</w:t>
      </w:r>
      <w:r>
        <w:rPr>
          <w:rFonts w:hint="eastAsia" w:ascii="仿宋_GB2312" w:hAnsi="宋体" w:eastAsia="仿宋_GB2312" w:cs="宋体"/>
          <w:color w:val="333333"/>
          <w:kern w:val="0"/>
          <w:sz w:val="24"/>
          <w:szCs w:val="24"/>
        </w:rPr>
        <w:t>．我方将按询价公告的规定履行合同责任和义务。</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4</w:t>
      </w:r>
      <w:r>
        <w:rPr>
          <w:rFonts w:hint="eastAsia" w:ascii="仿宋_GB2312" w:hAnsi="宋体" w:eastAsia="仿宋_GB2312" w:cs="宋体"/>
          <w:color w:val="333333"/>
          <w:kern w:val="0"/>
          <w:sz w:val="24"/>
          <w:szCs w:val="24"/>
        </w:rPr>
        <w:t>．如果我方在报价有效期内撤回报价文件，报价保证金将不被贵方退还。</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5</w:t>
      </w:r>
      <w:r>
        <w:rPr>
          <w:rFonts w:hint="eastAsia" w:ascii="仿宋_GB2312" w:hAnsi="宋体" w:eastAsia="仿宋_GB2312" w:cs="宋体"/>
          <w:color w:val="333333"/>
          <w:kern w:val="0"/>
          <w:sz w:val="24"/>
          <w:szCs w:val="24"/>
        </w:rPr>
        <w:t>．我方同意提供按照贵方可能要求的与其报价有关的一切数据或资料，理解并同意贵方的评标办法。</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6</w:t>
      </w:r>
      <w:r>
        <w:rPr>
          <w:rFonts w:hint="eastAsia" w:ascii="仿宋_GB2312" w:hAnsi="宋体" w:eastAsia="仿宋_GB2312" w:cs="宋体"/>
          <w:color w:val="333333"/>
          <w:kern w:val="0"/>
          <w:sz w:val="24"/>
          <w:szCs w:val="24"/>
        </w:rPr>
        <w:t>．我方的报价文件自开标后</w:t>
      </w:r>
      <w:r>
        <w:rPr>
          <w:rFonts w:ascii="仿宋_GB2312" w:hAnsi="宋体" w:eastAsia="仿宋_GB2312" w:cs="宋体"/>
          <w:color w:val="333333"/>
          <w:kern w:val="0"/>
          <w:sz w:val="24"/>
          <w:szCs w:val="24"/>
        </w:rPr>
        <w:t>60</w:t>
      </w:r>
      <w:r>
        <w:rPr>
          <w:rFonts w:hint="eastAsia" w:ascii="仿宋_GB2312" w:hAnsi="宋体" w:eastAsia="仿宋_GB2312" w:cs="宋体"/>
          <w:color w:val="333333"/>
          <w:kern w:val="0"/>
          <w:sz w:val="24"/>
          <w:szCs w:val="24"/>
        </w:rPr>
        <w:t>天内有效。</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7</w:t>
      </w:r>
      <w:r>
        <w:rPr>
          <w:rFonts w:hint="eastAsia" w:ascii="仿宋_GB2312" w:hAnsi="宋体" w:eastAsia="仿宋_GB2312" w:cs="宋体"/>
          <w:color w:val="333333"/>
          <w:kern w:val="0"/>
          <w:sz w:val="24"/>
          <w:szCs w:val="24"/>
        </w:rPr>
        <w:t>．与本报价有关的一切往来通讯请寄：</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地址：</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邮编：</w:t>
      </w:r>
      <w:r>
        <w:rPr>
          <w:rFonts w:hint="eastAsia" w:ascii="仿宋_GB2312" w:hAnsi="宋体" w:eastAsia="仿宋_GB2312" w:cs="宋体"/>
          <w:color w:val="333333"/>
          <w:kern w:val="0"/>
          <w:sz w:val="24"/>
          <w:szCs w:val="24"/>
          <w:u w:val="single"/>
        </w:rPr>
        <w:t>　　　　　　　　　　</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电话：</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传真：</w:t>
      </w:r>
      <w:r>
        <w:rPr>
          <w:rFonts w:hint="eastAsia" w:ascii="仿宋_GB2312" w:hAnsi="宋体" w:eastAsia="仿宋_GB2312" w:cs="宋体"/>
          <w:color w:val="333333"/>
          <w:kern w:val="0"/>
          <w:sz w:val="24"/>
          <w:szCs w:val="24"/>
          <w:u w:val="single"/>
        </w:rPr>
        <w:t>　　　　　　　　　　</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报价单位代表姓名：</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职务：</w:t>
      </w:r>
      <w:r>
        <w:rPr>
          <w:rFonts w:hint="eastAsia" w:ascii="仿宋_GB2312" w:hAnsi="宋体" w:eastAsia="仿宋_GB2312" w:cs="宋体"/>
          <w:color w:val="333333"/>
          <w:kern w:val="0"/>
          <w:sz w:val="24"/>
          <w:szCs w:val="24"/>
          <w:u w:val="single"/>
        </w:rPr>
        <w:t>　　　　　　　　　　</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报价供应商代表移动电话：</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　　　　　　　　　</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报价单位名称：</w:t>
      </w:r>
      <w:r>
        <w:rPr>
          <w:rFonts w:hint="eastAsia" w:ascii="仿宋_GB2312" w:hAnsi="宋体" w:eastAsia="仿宋_GB2312" w:cs="宋体"/>
          <w:color w:val="333333"/>
          <w:kern w:val="0"/>
          <w:sz w:val="24"/>
          <w:szCs w:val="24"/>
          <w:u w:val="single"/>
        </w:rPr>
        <w:t>（加盖单位公章）</w:t>
      </w:r>
      <w:r>
        <w:rPr>
          <w:rFonts w:ascii="仿宋_GB2312" w:hAnsi="宋体" w:eastAsia="仿宋_GB2312" w:cs="宋体"/>
          <w:color w:val="333333"/>
          <w:kern w:val="0"/>
          <w:sz w:val="24"/>
          <w:szCs w:val="24"/>
          <w:u w:val="single"/>
        </w:rPr>
        <w:t xml:space="preserve">        </w:t>
      </w:r>
    </w:p>
    <w:p>
      <w:pPr>
        <w:widowControl/>
        <w:shd w:val="clear" w:color="auto" w:fill="FFFFFF"/>
        <w:spacing w:before="100" w:beforeAutospacing="1" w:after="100" w:afterAutospacing="1" w:line="40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 </w:t>
      </w:r>
    </w:p>
    <w:p>
      <w:pPr>
        <w:widowControl/>
        <w:shd w:val="clear" w:color="auto" w:fill="FFFFFF"/>
        <w:spacing w:before="100" w:beforeAutospacing="1" w:after="100" w:afterAutospacing="1" w:line="400" w:lineRule="exact"/>
        <w:ind w:firstLine="5640" w:firstLineChars="2350"/>
        <w:jc w:val="left"/>
        <w:rPr>
          <w:rFonts w:ascii="宋体" w:cs="宋体"/>
          <w:color w:val="333333"/>
          <w:kern w:val="0"/>
          <w:sz w:val="24"/>
          <w:szCs w:val="24"/>
        </w:rPr>
      </w:pPr>
      <w:r>
        <w:rPr>
          <w:rFonts w:hint="eastAsia" w:ascii="仿宋_GB2312" w:hAnsi="宋体" w:eastAsia="仿宋_GB2312" w:cs="宋体"/>
          <w:color w:val="333333"/>
          <w:kern w:val="0"/>
          <w:sz w:val="24"/>
          <w:szCs w:val="24"/>
        </w:rPr>
        <w:t>年月日</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ascii="仿宋_GB2312" w:hAnsi="宋体" w:eastAsia="仿宋_GB2312" w:cs="宋体"/>
          <w:b/>
          <w:bCs/>
          <w:color w:val="333333"/>
          <w:kern w:val="0"/>
          <w:sz w:val="24"/>
          <w:szCs w:val="24"/>
        </w:rPr>
        <w:br w:type="page"/>
      </w:r>
      <w:r>
        <w:rPr>
          <w:rFonts w:hint="eastAsia" w:ascii="仿宋_GB2312" w:hAnsi="宋体" w:eastAsia="仿宋_GB2312" w:cs="宋体"/>
          <w:b/>
          <w:bCs/>
          <w:color w:val="333333"/>
          <w:kern w:val="0"/>
          <w:sz w:val="28"/>
          <w:szCs w:val="28"/>
        </w:rPr>
        <w:t>附件二：</w:t>
      </w:r>
    </w:p>
    <w:p>
      <w:pPr>
        <w:widowControl/>
        <w:shd w:val="clear" w:color="auto" w:fill="FFFFFF"/>
        <w:spacing w:before="100" w:beforeAutospacing="1" w:after="100" w:afterAutospacing="1" w:line="440" w:lineRule="exact"/>
        <w:jc w:val="center"/>
        <w:rPr>
          <w:rFonts w:ascii="宋体" w:cs="宋体"/>
          <w:color w:val="333333"/>
          <w:kern w:val="0"/>
          <w:sz w:val="24"/>
          <w:szCs w:val="24"/>
        </w:rPr>
      </w:pPr>
      <w:r>
        <w:rPr>
          <w:rFonts w:hint="eastAsia" w:ascii="仿宋_GB2312" w:hAnsi="宋体" w:eastAsia="仿宋_GB2312" w:cs="宋体"/>
          <w:b/>
          <w:bCs/>
          <w:color w:val="333333"/>
          <w:kern w:val="0"/>
          <w:sz w:val="24"/>
          <w:szCs w:val="24"/>
        </w:rPr>
        <w:t>质保承诺书</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hint="eastAsia" w:ascii="仿宋_GB2312" w:hAnsi="宋体" w:eastAsia="仿宋_GB2312" w:cs="宋体"/>
          <w:color w:val="333333"/>
          <w:kern w:val="0"/>
          <w:sz w:val="24"/>
          <w:szCs w:val="24"/>
        </w:rPr>
        <w:t>启东市人民医院：</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u w:val="single"/>
        </w:rPr>
        <w:t>（报价供应商全称）</w:t>
      </w:r>
      <w:r>
        <w:rPr>
          <w:rFonts w:hint="eastAsia" w:ascii="仿宋_GB2312" w:hAnsi="宋体" w:eastAsia="仿宋_GB2312" w:cs="宋体"/>
          <w:color w:val="333333"/>
          <w:kern w:val="0"/>
          <w:sz w:val="24"/>
          <w:szCs w:val="24"/>
        </w:rPr>
        <w:t>授权</w:t>
      </w:r>
      <w:r>
        <w:rPr>
          <w:rFonts w:hint="eastAsia" w:ascii="仿宋_GB2312" w:hAnsi="宋体" w:eastAsia="仿宋_GB2312" w:cs="宋体"/>
          <w:color w:val="333333"/>
          <w:kern w:val="0"/>
          <w:sz w:val="24"/>
          <w:szCs w:val="24"/>
          <w:u w:val="single"/>
        </w:rPr>
        <w:t>（姓</w:t>
      </w:r>
      <w:r>
        <w:rPr>
          <w:rFonts w:ascii="仿宋_GB2312" w:hAnsi="宋体" w:eastAsia="仿宋_GB2312" w:cs="宋体"/>
          <w:color w:val="333333"/>
          <w:kern w:val="0"/>
          <w:sz w:val="24"/>
          <w:szCs w:val="24"/>
          <w:u w:val="single"/>
        </w:rPr>
        <w:t xml:space="preserve">  </w:t>
      </w:r>
      <w:r>
        <w:rPr>
          <w:rFonts w:hint="eastAsia" w:ascii="仿宋_GB2312" w:hAnsi="宋体" w:eastAsia="仿宋_GB2312" w:cs="宋体"/>
          <w:color w:val="333333"/>
          <w:kern w:val="0"/>
          <w:sz w:val="24"/>
          <w:szCs w:val="24"/>
          <w:u w:val="single"/>
        </w:rPr>
        <w:t>名）（职</w:t>
      </w:r>
      <w:r>
        <w:rPr>
          <w:rFonts w:ascii="仿宋_GB2312" w:hAnsi="宋体" w:eastAsia="仿宋_GB2312" w:cs="宋体"/>
          <w:color w:val="333333"/>
          <w:kern w:val="0"/>
          <w:sz w:val="24"/>
          <w:szCs w:val="24"/>
          <w:u w:val="single"/>
        </w:rPr>
        <w:t xml:space="preserve">  </w:t>
      </w:r>
      <w:r>
        <w:rPr>
          <w:rFonts w:hint="eastAsia" w:ascii="仿宋_GB2312" w:hAnsi="宋体" w:eastAsia="仿宋_GB2312" w:cs="宋体"/>
          <w:color w:val="333333"/>
          <w:kern w:val="0"/>
          <w:sz w:val="24"/>
          <w:szCs w:val="24"/>
          <w:u w:val="single"/>
        </w:rPr>
        <w:t>务）</w:t>
      </w:r>
      <w:r>
        <w:rPr>
          <w:rFonts w:hint="eastAsia" w:ascii="仿宋_GB2312" w:hAnsi="宋体" w:eastAsia="仿宋_GB2312" w:cs="宋体"/>
          <w:color w:val="333333"/>
          <w:kern w:val="0"/>
          <w:sz w:val="24"/>
          <w:szCs w:val="24"/>
        </w:rPr>
        <w:t>为全权代表，参加</w:t>
      </w:r>
      <w:r>
        <w:rPr>
          <w:rFonts w:hint="eastAsia" w:ascii="仿宋_GB2312" w:hAnsi="宋体" w:eastAsia="仿宋_GB2312" w:cs="宋体"/>
          <w:color w:val="333333"/>
          <w:kern w:val="0"/>
          <w:sz w:val="24"/>
          <w:szCs w:val="24"/>
          <w:u w:val="single"/>
        </w:rPr>
        <w:t>启东市人民医院负压吸引设备项目</w:t>
      </w:r>
      <w:r>
        <w:rPr>
          <w:rFonts w:hint="eastAsia" w:ascii="仿宋_GB2312" w:hAnsi="宋体" w:eastAsia="仿宋_GB2312" w:cs="宋体"/>
          <w:color w:val="333333"/>
          <w:kern w:val="0"/>
          <w:sz w:val="24"/>
          <w:szCs w:val="24"/>
        </w:rPr>
        <w:t>询价的有关活动，并宣布同意如下：</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 xml:space="preserve">1. </w:t>
      </w:r>
      <w:r>
        <w:rPr>
          <w:rFonts w:hint="eastAsia" w:ascii="仿宋_GB2312" w:hAnsi="宋体" w:eastAsia="仿宋_GB2312" w:cs="宋体"/>
          <w:color w:val="333333"/>
          <w:kern w:val="0"/>
          <w:sz w:val="24"/>
          <w:szCs w:val="24"/>
        </w:rPr>
        <w:t>我方承诺对本项目货物清单表中所列的所有货物提供壹年的全免费上门质保</w:t>
      </w:r>
      <w:r>
        <w:rPr>
          <w:rFonts w:ascii="仿宋_GB2312" w:hAnsi="宋体" w:eastAsia="仿宋_GB2312" w:cs="宋体"/>
          <w:color w:val="333333"/>
          <w:kern w:val="0"/>
          <w:sz w:val="24"/>
          <w:szCs w:val="24"/>
        </w:rPr>
        <w:t>(</w:t>
      </w:r>
      <w:r>
        <w:rPr>
          <w:rFonts w:hint="eastAsia" w:ascii="仿宋_GB2312" w:hAnsi="宋体" w:eastAsia="仿宋_GB2312" w:cs="宋体"/>
          <w:color w:val="333333"/>
          <w:kern w:val="0"/>
          <w:sz w:val="24"/>
          <w:szCs w:val="24"/>
        </w:rPr>
        <w:t>含部件及人工</w:t>
      </w:r>
      <w:r>
        <w:rPr>
          <w:rFonts w:ascii="仿宋_GB2312" w:hAnsi="宋体" w:eastAsia="仿宋_GB2312" w:cs="宋体"/>
          <w:color w:val="333333"/>
          <w:kern w:val="0"/>
          <w:sz w:val="24"/>
          <w:szCs w:val="24"/>
        </w:rPr>
        <w:t>)</w:t>
      </w:r>
      <w:r>
        <w:rPr>
          <w:rFonts w:hint="eastAsia" w:ascii="仿宋_GB2312" w:hAnsi="宋体" w:eastAsia="仿宋_GB2312" w:cs="宋体"/>
          <w:color w:val="333333"/>
          <w:kern w:val="0"/>
          <w:sz w:val="24"/>
          <w:szCs w:val="24"/>
        </w:rPr>
        <w:t>及售后服务。</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2. </w:t>
      </w:r>
      <w:r>
        <w:rPr>
          <w:rFonts w:hint="eastAsia" w:ascii="仿宋_GB2312" w:hAnsi="宋体" w:eastAsia="仿宋_GB2312" w:cs="宋体"/>
          <w:color w:val="333333"/>
          <w:kern w:val="0"/>
          <w:sz w:val="24"/>
          <w:szCs w:val="24"/>
        </w:rPr>
        <w:t>质保期内，同一商品、同一质量问题连续两次维修仍无法正常使用，我方将无条件给予全套更新或退货。</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3</w:t>
      </w:r>
      <w:r>
        <w:rPr>
          <w:rFonts w:hint="eastAsia" w:ascii="仿宋_GB2312" w:hAnsi="宋体" w:eastAsia="仿宋_GB2312" w:cs="宋体"/>
          <w:color w:val="333333"/>
          <w:kern w:val="0"/>
          <w:sz w:val="24"/>
          <w:szCs w:val="24"/>
        </w:rPr>
        <w:t>．在免费质保期内，我方在接到用户单位电话通知后，将在12小时之内上门服务，并在</w:t>
      </w:r>
      <w:r>
        <w:rPr>
          <w:rFonts w:ascii="仿宋_GB2312" w:hAnsi="宋体" w:eastAsia="仿宋_GB2312" w:cs="宋体"/>
          <w:color w:val="333333"/>
          <w:kern w:val="0"/>
          <w:sz w:val="24"/>
          <w:szCs w:val="24"/>
        </w:rPr>
        <w:t>24</w:t>
      </w:r>
      <w:r>
        <w:rPr>
          <w:rFonts w:hint="eastAsia" w:ascii="仿宋_GB2312" w:hAnsi="宋体" w:eastAsia="仿宋_GB2312" w:cs="宋体"/>
          <w:color w:val="333333"/>
          <w:kern w:val="0"/>
          <w:sz w:val="24"/>
          <w:szCs w:val="24"/>
        </w:rPr>
        <w:t>小时内负责修复。如需更换货物或送修，必须在</w:t>
      </w:r>
      <w:r>
        <w:rPr>
          <w:rFonts w:ascii="仿宋_GB2312" w:hAnsi="宋体" w:eastAsia="仿宋_GB2312" w:cs="宋体"/>
          <w:color w:val="333333"/>
          <w:kern w:val="0"/>
          <w:sz w:val="24"/>
          <w:szCs w:val="24"/>
        </w:rPr>
        <w:t>48</w:t>
      </w:r>
      <w:r>
        <w:rPr>
          <w:rFonts w:hint="eastAsia" w:ascii="仿宋_GB2312" w:hAnsi="宋体" w:eastAsia="仿宋_GB2312" w:cs="宋体"/>
          <w:color w:val="333333"/>
          <w:kern w:val="0"/>
          <w:sz w:val="24"/>
          <w:szCs w:val="24"/>
        </w:rPr>
        <w:t>小时内提供备用货物，并在</w:t>
      </w:r>
      <w:r>
        <w:rPr>
          <w:rFonts w:ascii="仿宋_GB2312" w:hAnsi="宋体" w:eastAsia="仿宋_GB2312" w:cs="宋体"/>
          <w:color w:val="333333"/>
          <w:kern w:val="0"/>
          <w:sz w:val="24"/>
          <w:szCs w:val="24"/>
        </w:rPr>
        <w:t>7</w:t>
      </w:r>
      <w:r>
        <w:rPr>
          <w:rFonts w:hint="eastAsia" w:ascii="仿宋_GB2312" w:hAnsi="宋体" w:eastAsia="仿宋_GB2312" w:cs="宋体"/>
          <w:color w:val="333333"/>
          <w:kern w:val="0"/>
          <w:sz w:val="24"/>
          <w:szCs w:val="24"/>
        </w:rPr>
        <w:t>个工作日内负责维修完毕。</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ascii="仿宋_GB2312" w:hAnsi="宋体" w:eastAsia="仿宋_GB2312" w:cs="宋体"/>
          <w:color w:val="333333"/>
          <w:kern w:val="0"/>
          <w:sz w:val="24"/>
          <w:szCs w:val="24"/>
        </w:rPr>
        <w:t>4</w:t>
      </w:r>
      <w:r>
        <w:rPr>
          <w:rFonts w:hint="eastAsia" w:ascii="仿宋_GB2312" w:hAnsi="宋体" w:eastAsia="仿宋_GB2312" w:cs="宋体"/>
          <w:color w:val="333333"/>
          <w:kern w:val="0"/>
          <w:sz w:val="24"/>
          <w:szCs w:val="24"/>
        </w:rPr>
        <w:t>．与本项目有关的一切往来通讯请寄：</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地址：</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邮编：</w:t>
      </w:r>
      <w:r>
        <w:rPr>
          <w:rFonts w:hint="eastAsia" w:ascii="仿宋_GB2312" w:hAnsi="宋体" w:eastAsia="仿宋_GB2312" w:cs="宋体"/>
          <w:color w:val="333333"/>
          <w:kern w:val="0"/>
          <w:sz w:val="24"/>
          <w:szCs w:val="24"/>
          <w:u w:val="single"/>
        </w:rPr>
        <w:t>　　　　　　　　　　　</w:t>
      </w:r>
      <w:r>
        <w:rPr>
          <w:rFonts w:ascii="仿宋_GB2312" w:hAnsi="宋体" w:eastAsia="仿宋_GB2312" w:cs="宋体"/>
          <w:color w:val="FFFFFF"/>
          <w:kern w:val="0"/>
          <w:sz w:val="24"/>
          <w:szCs w:val="24"/>
          <w:u w:val="single"/>
        </w:rPr>
        <w:t>.</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电话：</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传真：</w:t>
      </w:r>
      <w:r>
        <w:rPr>
          <w:rFonts w:hint="eastAsia" w:ascii="仿宋_GB2312" w:hAnsi="宋体" w:eastAsia="仿宋_GB2312" w:cs="宋体"/>
          <w:color w:val="333333"/>
          <w:kern w:val="0"/>
          <w:sz w:val="24"/>
          <w:szCs w:val="24"/>
          <w:u w:val="single"/>
        </w:rPr>
        <w:t>　　　　　　　　　</w:t>
      </w:r>
      <w:r>
        <w:rPr>
          <w:rFonts w:ascii="仿宋_GB2312" w:hAnsi="宋体" w:eastAsia="仿宋_GB2312" w:cs="宋体"/>
          <w:color w:val="FFFFFF"/>
          <w:kern w:val="0"/>
          <w:sz w:val="24"/>
          <w:szCs w:val="24"/>
          <w:u w:val="single"/>
        </w:rPr>
        <w:t>.</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报价供应商代表姓名：</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职务：</w:t>
      </w:r>
      <w:r>
        <w:rPr>
          <w:rFonts w:hint="eastAsia" w:ascii="仿宋_GB2312" w:hAnsi="宋体" w:eastAsia="仿宋_GB2312" w:cs="宋体"/>
          <w:color w:val="333333"/>
          <w:kern w:val="0"/>
          <w:sz w:val="24"/>
          <w:szCs w:val="24"/>
          <w:u w:val="single"/>
        </w:rPr>
        <w:t>　　　　　　　　　　</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报价供应商名称（加盖单位公章）：</w:t>
      </w:r>
      <w:r>
        <w:rPr>
          <w:rFonts w:hint="eastAsia" w:ascii="仿宋_GB2312" w:hAnsi="宋体" w:eastAsia="仿宋_GB2312" w:cs="宋体"/>
          <w:color w:val="333333"/>
          <w:kern w:val="0"/>
          <w:sz w:val="24"/>
          <w:szCs w:val="24"/>
          <w:u w:val="single"/>
        </w:rPr>
        <w:t>　　　　　</w:t>
      </w:r>
      <w:r>
        <w:rPr>
          <w:rFonts w:ascii="仿宋_GB2312" w:hAnsi="宋体" w:eastAsia="仿宋_GB2312" w:cs="宋体"/>
          <w:color w:val="333333"/>
          <w:kern w:val="0"/>
          <w:sz w:val="24"/>
          <w:szCs w:val="24"/>
          <w:u w:val="single"/>
        </w:rPr>
        <w:t xml:space="preserve">     </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ascii="仿宋_GB2312" w:hAnsi="宋体" w:eastAsia="仿宋_GB2312" w:cs="宋体"/>
          <w:color w:val="333333"/>
          <w:kern w:val="0"/>
          <w:sz w:val="24"/>
          <w:szCs w:val="24"/>
        </w:rPr>
        <w:t> </w:t>
      </w:r>
    </w:p>
    <w:p>
      <w:pPr>
        <w:widowControl/>
        <w:shd w:val="clear" w:color="auto" w:fill="FFFFFF"/>
        <w:spacing w:before="100" w:beforeAutospacing="1" w:after="100" w:afterAutospacing="1" w:line="440" w:lineRule="exact"/>
        <w:ind w:firstLine="5400" w:firstLineChars="2250"/>
        <w:jc w:val="left"/>
        <w:rPr>
          <w:rFonts w:ascii="宋体" w:cs="宋体"/>
          <w:color w:val="333333"/>
          <w:kern w:val="0"/>
          <w:sz w:val="24"/>
          <w:szCs w:val="24"/>
        </w:rPr>
      </w:pPr>
      <w:r>
        <w:rPr>
          <w:rFonts w:hint="eastAsia" w:ascii="仿宋_GB2312" w:hAnsi="宋体" w:eastAsia="仿宋_GB2312" w:cs="宋体"/>
          <w:color w:val="333333"/>
          <w:kern w:val="0"/>
          <w:sz w:val="24"/>
          <w:szCs w:val="24"/>
        </w:rPr>
        <w:t>日期：年月日　</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cs="Calibri"/>
          <w:color w:val="333333"/>
          <w:kern w:val="0"/>
          <w:sz w:val="24"/>
          <w:szCs w:val="24"/>
        </w:rPr>
        <w:t> </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ascii="仿宋_GB2312" w:hAnsi="宋体" w:eastAsia="仿宋_GB2312" w:cs="宋体"/>
          <w:b/>
          <w:bCs/>
          <w:color w:val="333333"/>
          <w:kern w:val="0"/>
          <w:sz w:val="24"/>
          <w:szCs w:val="24"/>
        </w:rPr>
        <w:t> </w:t>
      </w:r>
    </w:p>
    <w:p>
      <w:pPr>
        <w:widowControl/>
        <w:shd w:val="clear" w:color="auto" w:fill="FFFFFF"/>
        <w:spacing w:before="100" w:beforeAutospacing="1" w:line="440" w:lineRule="exact"/>
        <w:jc w:val="left"/>
        <w:rPr>
          <w:rFonts w:ascii="宋体" w:cs="宋体"/>
          <w:color w:val="333333"/>
          <w:kern w:val="0"/>
          <w:sz w:val="24"/>
          <w:szCs w:val="24"/>
        </w:rPr>
      </w:pPr>
      <w:r>
        <w:rPr>
          <w:rFonts w:hint="eastAsia" w:ascii="仿宋_GB2312" w:hAnsi="宋体" w:eastAsia="仿宋_GB2312" w:cs="宋体"/>
          <w:b/>
          <w:bCs/>
          <w:color w:val="333333"/>
          <w:kern w:val="0"/>
          <w:sz w:val="28"/>
          <w:szCs w:val="28"/>
        </w:rPr>
        <w:t>附件三</w:t>
      </w:r>
      <w:r>
        <w:rPr>
          <w:rFonts w:hint="eastAsia" w:ascii="仿宋_GB2312" w:hAnsi="宋体" w:eastAsia="仿宋_GB2312" w:cs="宋体"/>
          <w:color w:val="333333"/>
          <w:kern w:val="0"/>
          <w:sz w:val="28"/>
          <w:szCs w:val="28"/>
        </w:rPr>
        <w:t>：报价货物采购要求</w:t>
      </w:r>
    </w:p>
    <w:p>
      <w:pPr>
        <w:widowControl/>
        <w:shd w:val="clear" w:color="auto" w:fill="FFFFFF"/>
        <w:spacing w:before="100" w:beforeAutospacing="1" w:line="440" w:lineRule="exact"/>
        <w:jc w:val="center"/>
        <w:rPr>
          <w:rFonts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启东市人民医院负压吸引设备项目</w:t>
      </w:r>
    </w:p>
    <w:p>
      <w:pPr>
        <w:widowControl/>
        <w:shd w:val="clear" w:color="auto" w:fill="FFFFFF"/>
        <w:spacing w:before="100" w:beforeAutospacing="1" w:line="440" w:lineRule="exact"/>
        <w:jc w:val="center"/>
      </w:pPr>
      <w:r>
        <w:rPr>
          <w:rFonts w:hint="eastAsia" w:ascii="仿宋_GB2312" w:eastAsia="仿宋_GB2312"/>
          <w:color w:val="333333"/>
          <w:sz w:val="28"/>
          <w:szCs w:val="28"/>
        </w:rPr>
        <w:t>技术参数响应表</w:t>
      </w:r>
    </w:p>
    <w:tbl>
      <w:tblPr>
        <w:tblStyle w:val="14"/>
        <w:tblW w:w="10594" w:type="dxa"/>
        <w:jc w:val="center"/>
        <w:tblLayout w:type="fixed"/>
        <w:tblCellMar>
          <w:top w:w="0" w:type="dxa"/>
          <w:left w:w="108" w:type="dxa"/>
          <w:bottom w:w="0" w:type="dxa"/>
          <w:right w:w="108" w:type="dxa"/>
        </w:tblCellMar>
      </w:tblPr>
      <w:tblGrid>
        <w:gridCol w:w="610"/>
        <w:gridCol w:w="6480"/>
        <w:gridCol w:w="1322"/>
        <w:gridCol w:w="1238"/>
        <w:gridCol w:w="944"/>
      </w:tblGrid>
      <w:tr>
        <w:tblPrEx>
          <w:tblCellMar>
            <w:top w:w="0" w:type="dxa"/>
            <w:left w:w="108" w:type="dxa"/>
            <w:bottom w:w="0" w:type="dxa"/>
            <w:right w:w="108" w:type="dxa"/>
          </w:tblCellMar>
        </w:tblPrEx>
        <w:trPr>
          <w:jc w:val="center"/>
        </w:trPr>
        <w:tc>
          <w:tcPr>
            <w:tcW w:w="610"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rFonts w:ascii="宋体" w:cs="宋体"/>
              </w:rPr>
            </w:pPr>
            <w:r>
              <w:rPr>
                <w:rFonts w:hint="eastAsia"/>
                <w:sz w:val="18"/>
                <w:szCs w:val="18"/>
              </w:rPr>
              <w:t>项目　</w:t>
            </w:r>
          </w:p>
        </w:tc>
        <w:tc>
          <w:tcPr>
            <w:tcW w:w="6480" w:type="dxa"/>
            <w:tcBorders>
              <w:top w:val="single" w:color="000000" w:sz="4"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jc w:val="center"/>
              <w:rPr>
                <w:rFonts w:ascii="宋体" w:cs="宋体"/>
              </w:rPr>
            </w:pPr>
            <w:r>
              <w:rPr>
                <w:rFonts w:hint="eastAsia" w:ascii="宋体" w:hAnsi="宋体"/>
                <w:sz w:val="18"/>
                <w:szCs w:val="18"/>
              </w:rPr>
              <w:t>技术要求</w:t>
            </w:r>
          </w:p>
        </w:tc>
        <w:tc>
          <w:tcPr>
            <w:tcW w:w="1322" w:type="dxa"/>
            <w:tcBorders>
              <w:top w:val="single" w:color="000000" w:sz="4"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jc w:val="center"/>
              <w:rPr>
                <w:rFonts w:ascii="宋体" w:cs="宋体"/>
              </w:rPr>
            </w:pPr>
            <w:r>
              <w:rPr>
                <w:rFonts w:hint="eastAsia" w:ascii="宋体" w:hAnsi="宋体"/>
                <w:color w:val="000000"/>
                <w:sz w:val="18"/>
                <w:szCs w:val="18"/>
              </w:rPr>
              <w:t>报价货物技术性能及参数</w:t>
            </w:r>
          </w:p>
        </w:tc>
        <w:tc>
          <w:tcPr>
            <w:tcW w:w="1238" w:type="dxa"/>
            <w:tcBorders>
              <w:top w:val="single" w:color="000000" w:sz="4"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jc w:val="center"/>
              <w:rPr>
                <w:rFonts w:ascii="宋体" w:cs="宋体"/>
                <w:szCs w:val="21"/>
              </w:rPr>
            </w:pPr>
            <w:r>
              <w:rPr>
                <w:rFonts w:hint="eastAsia"/>
                <w:sz w:val="18"/>
                <w:szCs w:val="18"/>
              </w:rPr>
              <w:t>偏离情况</w:t>
            </w:r>
          </w:p>
        </w:tc>
        <w:tc>
          <w:tcPr>
            <w:tcW w:w="944" w:type="dxa"/>
            <w:tcBorders>
              <w:top w:val="single" w:color="000000" w:sz="4"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jc w:val="center"/>
              <w:rPr>
                <w:rFonts w:ascii="宋体" w:cs="宋体"/>
                <w:szCs w:val="21"/>
              </w:rPr>
            </w:pPr>
            <w:r>
              <w:rPr>
                <w:rFonts w:hint="eastAsia"/>
                <w:sz w:val="18"/>
                <w:szCs w:val="18"/>
              </w:rPr>
              <w:t>备注</w:t>
            </w: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r>
              <w:rPr>
                <w:rFonts w:hint="eastAsia"/>
                <w:sz w:val="18"/>
                <w:szCs w:val="18"/>
              </w:rPr>
              <w:t>一</w:t>
            </w: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line="360" w:lineRule="auto"/>
              <w:rPr>
                <w:szCs w:val="21"/>
              </w:rPr>
            </w:pPr>
            <w:r>
              <w:rPr>
                <w:rFonts w:hint="eastAsia"/>
                <w:sz w:val="18"/>
              </w:rPr>
              <w:t>负压吸引</w:t>
            </w:r>
            <w:r>
              <w:rPr>
                <w:sz w:val="18"/>
              </w:rPr>
              <w:t>真空泵</w:t>
            </w:r>
            <w:r>
              <w:rPr>
                <w:rFonts w:hint="eastAsia"/>
                <w:sz w:val="18"/>
              </w:rPr>
              <w:t>（单台）</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trHeight w:val="1067" w:hRule="atLeast"/>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tabs>
                <w:tab w:val="left" w:pos="294"/>
              </w:tabs>
              <w:spacing w:before="21" w:line="285" w:lineRule="auto"/>
              <w:ind w:left="110" w:right="88"/>
              <w:jc w:val="left"/>
              <w:rPr>
                <w:sz w:val="18"/>
                <w:szCs w:val="24"/>
              </w:rPr>
            </w:pPr>
            <w:r>
              <w:rPr>
                <w:rFonts w:hint="eastAsia"/>
                <w:spacing w:val="-9"/>
                <w:sz w:val="18"/>
                <w:szCs w:val="24"/>
              </w:rPr>
              <w:t>1.</w:t>
            </w:r>
            <w:r>
              <w:rPr>
                <w:spacing w:val="-9"/>
                <w:sz w:val="18"/>
                <w:szCs w:val="24"/>
              </w:rPr>
              <w:t>单级、直联、风冷，油润滑旋片式真空</w:t>
            </w:r>
            <w:r>
              <w:rPr>
                <w:spacing w:val="-5"/>
                <w:sz w:val="18"/>
                <w:szCs w:val="24"/>
              </w:rPr>
              <w:t>泵</w:t>
            </w:r>
            <w:r>
              <w:rPr>
                <w:sz w:val="18"/>
                <w:szCs w:val="24"/>
              </w:rPr>
              <w:t xml:space="preserve"> </w:t>
            </w:r>
            <w:r>
              <w:rPr>
                <w:rFonts w:hint="eastAsia"/>
                <w:sz w:val="18"/>
                <w:szCs w:val="24"/>
              </w:rPr>
              <w:t>2.</w:t>
            </w:r>
            <w:r>
              <w:rPr>
                <w:spacing w:val="-10"/>
                <w:sz w:val="18"/>
                <w:szCs w:val="24"/>
              </w:rPr>
              <w:t>真空泵为真空系统的核心，用于创造真</w:t>
            </w:r>
            <w:r>
              <w:rPr>
                <w:spacing w:val="-8"/>
                <w:sz w:val="18"/>
                <w:szCs w:val="24"/>
              </w:rPr>
              <w:t>空环境，实现所需的工作真空度，以满足</w:t>
            </w:r>
            <w:r>
              <w:rPr>
                <w:spacing w:val="-3"/>
                <w:sz w:val="18"/>
                <w:szCs w:val="24"/>
              </w:rPr>
              <w:t>工艺要求</w:t>
            </w:r>
            <w:r>
              <w:rPr>
                <w:sz w:val="18"/>
                <w:szCs w:val="24"/>
              </w:rPr>
              <w:t xml:space="preserve"> </w:t>
            </w:r>
            <w:r>
              <w:rPr>
                <w:rFonts w:hint="eastAsia"/>
                <w:sz w:val="18"/>
                <w:szCs w:val="24"/>
              </w:rPr>
              <w:t>3.</w:t>
            </w:r>
            <w:r>
              <w:rPr>
                <w:spacing w:val="-15"/>
                <w:sz w:val="18"/>
                <w:szCs w:val="24"/>
              </w:rPr>
              <w:t>内置排气过滤器，带有减震块、止回阀</w:t>
            </w:r>
            <w:r>
              <w:rPr>
                <w:rFonts w:hint="eastAsia"/>
                <w:spacing w:val="-15"/>
                <w:sz w:val="18"/>
                <w:szCs w:val="24"/>
              </w:rPr>
              <w:t>、</w:t>
            </w:r>
            <w:r>
              <w:rPr>
                <w:sz w:val="18"/>
                <w:szCs w:val="24"/>
              </w:rPr>
              <w:t>进气过滤器、气镇阀、真空泵专用油</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line="360" w:lineRule="auto"/>
              <w:rPr>
                <w:szCs w:val="21"/>
              </w:rPr>
            </w:pPr>
            <w:r>
              <w:rPr>
                <w:rFonts w:hint="eastAsia"/>
                <w:sz w:val="18"/>
              </w:rPr>
              <w:t>额定功率≤7.5KW</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line="360" w:lineRule="auto"/>
              <w:rPr>
                <w:szCs w:val="21"/>
              </w:rPr>
            </w:pPr>
            <w:r>
              <w:rPr>
                <w:sz w:val="18"/>
              </w:rPr>
              <w:t>额定抽速</w:t>
            </w:r>
            <w:r>
              <w:rPr>
                <w:rFonts w:hint="eastAsia"/>
                <w:sz w:val="18"/>
              </w:rPr>
              <w:t>≥</w:t>
            </w:r>
            <w:r>
              <w:rPr>
                <w:sz w:val="18"/>
              </w:rPr>
              <w:t>300m</w:t>
            </w:r>
            <w:r>
              <w:rPr>
                <w:position w:val="9"/>
                <w:sz w:val="9"/>
              </w:rPr>
              <w:t>3</w:t>
            </w:r>
            <w:r>
              <w:rPr>
                <w:sz w:val="18"/>
              </w:rPr>
              <w:t>/h</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pStyle w:val="32"/>
              <w:spacing w:before="31"/>
              <w:ind w:right="2"/>
              <w:jc w:val="left"/>
              <w:rPr>
                <w:sz w:val="18"/>
              </w:rPr>
            </w:pPr>
            <w:r>
              <w:rPr>
                <w:sz w:val="18"/>
              </w:rPr>
              <w:t>极限真空</w:t>
            </w:r>
            <w:r>
              <w:rPr>
                <w:rFonts w:hint="eastAsia"/>
                <w:sz w:val="18"/>
              </w:rPr>
              <w:t>≤</w:t>
            </w:r>
            <w:r>
              <w:rPr>
                <w:sz w:val="18"/>
              </w:rPr>
              <w:t xml:space="preserve">0.1mbar </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pStyle w:val="32"/>
              <w:spacing w:before="31"/>
              <w:ind w:right="2"/>
              <w:jc w:val="left"/>
              <w:rPr>
                <w:sz w:val="18"/>
              </w:rPr>
            </w:pPr>
            <w:r>
              <w:rPr>
                <w:sz w:val="18"/>
              </w:rPr>
              <w:t>额定噪声级（ISO 2151）</w:t>
            </w:r>
            <w:r>
              <w:rPr>
                <w:rFonts w:hint="eastAsia"/>
                <w:sz w:val="18"/>
              </w:rPr>
              <w:t>≤</w:t>
            </w:r>
            <w:r>
              <w:rPr>
                <w:sz w:val="18"/>
              </w:rPr>
              <w:t xml:space="preserve">74dB(A) </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pStyle w:val="32"/>
              <w:spacing w:before="26"/>
              <w:ind w:right="2"/>
              <w:jc w:val="left"/>
              <w:rPr>
                <w:sz w:val="18"/>
              </w:rPr>
            </w:pPr>
            <w:r>
              <w:rPr>
                <w:sz w:val="18"/>
              </w:rPr>
              <w:t>进气口尺寸</w:t>
            </w:r>
            <w:r>
              <w:rPr>
                <w:rFonts w:hint="eastAsia"/>
                <w:sz w:val="18"/>
              </w:rPr>
              <w:t>、</w:t>
            </w:r>
            <w:r>
              <w:rPr>
                <w:sz w:val="18"/>
              </w:rPr>
              <w:t>排气口尺寸</w:t>
            </w:r>
            <w:r>
              <w:rPr>
                <w:rFonts w:hint="eastAsia"/>
                <w:sz w:val="18"/>
              </w:rPr>
              <w:t>：</w:t>
            </w:r>
            <w:r>
              <w:rPr>
                <w:sz w:val="18"/>
              </w:rPr>
              <w:t xml:space="preserve">G2″ </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trHeight w:val="487" w:hRule="atLeast"/>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24"/>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pStyle w:val="32"/>
              <w:spacing w:before="31"/>
              <w:ind w:right="2"/>
              <w:jc w:val="left"/>
              <w:rPr>
                <w:sz w:val="18"/>
              </w:rPr>
            </w:pPr>
            <w:r>
              <w:rPr>
                <w:rFonts w:hint="eastAsia"/>
                <w:sz w:val="18"/>
              </w:rPr>
              <w:t>品牌：普旭、久信、伟士力、赫里亚斯或优于以上品牌（附优于以上品牌的说明）。</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r>
              <w:rPr>
                <w:rFonts w:hint="eastAsia"/>
                <w:sz w:val="18"/>
                <w:szCs w:val="18"/>
              </w:rPr>
              <w:t>二</w:t>
            </w: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line="360" w:lineRule="auto"/>
              <w:jc w:val="left"/>
              <w:rPr>
                <w:szCs w:val="21"/>
              </w:rPr>
            </w:pPr>
            <w:r>
              <w:rPr>
                <w:sz w:val="18"/>
              </w:rPr>
              <w:t>控制箱</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trHeight w:val="550" w:hRule="atLeast"/>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line="360" w:lineRule="auto"/>
              <w:rPr>
                <w:szCs w:val="21"/>
              </w:rPr>
            </w:pPr>
            <w:r>
              <w:rPr>
                <w:spacing w:val="-2"/>
                <w:sz w:val="18"/>
              </w:rPr>
              <w:t>接触器</w:t>
            </w:r>
            <w:r>
              <w:rPr>
                <w:rFonts w:hint="eastAsia"/>
                <w:spacing w:val="-1"/>
                <w:sz w:val="18"/>
              </w:rPr>
              <w:t>、</w:t>
            </w:r>
            <w:r>
              <w:rPr>
                <w:spacing w:val="-4"/>
                <w:sz w:val="18"/>
              </w:rPr>
              <w:t>时间继电器等主要部件</w:t>
            </w:r>
            <w:r>
              <w:rPr>
                <w:rFonts w:hint="eastAsia"/>
                <w:spacing w:val="-4"/>
                <w:sz w:val="18"/>
              </w:rPr>
              <w:t>选用</w:t>
            </w:r>
            <w:r>
              <w:rPr>
                <w:spacing w:val="-1"/>
                <w:sz w:val="18"/>
              </w:rPr>
              <w:t>施耐德</w:t>
            </w:r>
            <w:r>
              <w:rPr>
                <w:rFonts w:hint="eastAsia"/>
                <w:spacing w:val="-1"/>
                <w:sz w:val="18"/>
              </w:rPr>
              <w:t>、德力西等知名品牌</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before="26" w:line="280" w:lineRule="auto"/>
              <w:ind w:right="232"/>
              <w:rPr>
                <w:sz w:val="18"/>
                <w:szCs w:val="24"/>
              </w:rPr>
            </w:pPr>
            <w:r>
              <w:rPr>
                <w:spacing w:val="-6"/>
                <w:sz w:val="18"/>
                <w:szCs w:val="24"/>
              </w:rPr>
              <w:t>可实现自动或手动控制真空泵的开</w:t>
            </w:r>
            <w:r>
              <w:rPr>
                <w:spacing w:val="-3"/>
                <w:sz w:val="18"/>
                <w:szCs w:val="24"/>
              </w:rPr>
              <w:t>启和停止</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jc w:val="left"/>
              <w:rPr>
                <w:szCs w:val="21"/>
              </w:rPr>
            </w:pPr>
            <w:r>
              <w:rPr>
                <w:spacing w:val="-5"/>
                <w:sz w:val="18"/>
                <w:szCs w:val="24"/>
              </w:rPr>
              <w:t>可修改压力设定点</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spacing w:line="360" w:lineRule="auto"/>
              <w:rPr>
                <w:spacing w:val="-5"/>
                <w:sz w:val="18"/>
                <w:szCs w:val="24"/>
              </w:rPr>
            </w:pPr>
            <w:r>
              <w:rPr>
                <w:spacing w:val="-10"/>
                <w:sz w:val="18"/>
                <w:szCs w:val="24"/>
              </w:rPr>
              <w:t>一用一备，当任意泵</w:t>
            </w:r>
            <w:r>
              <w:rPr>
                <w:spacing w:val="-5"/>
                <w:sz w:val="18"/>
                <w:szCs w:val="24"/>
              </w:rPr>
              <w:t>运行中出现故障则自动切换备用泵运行</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jc w:val="left"/>
              <w:rPr>
                <w:szCs w:val="21"/>
              </w:rPr>
            </w:pPr>
            <w:r>
              <w:rPr>
                <w:rFonts w:hint="eastAsia"/>
                <w:spacing w:val="-5"/>
                <w:sz w:val="18"/>
              </w:rPr>
              <w:t>带停电自启动功能</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ind w:firstLine="85" w:firstLineChars="50"/>
              <w:jc w:val="left"/>
              <w:rPr>
                <w:spacing w:val="-5"/>
                <w:sz w:val="18"/>
              </w:rPr>
            </w:pPr>
            <w:r>
              <w:rPr>
                <w:rFonts w:hint="eastAsia"/>
                <w:spacing w:val="-5"/>
                <w:sz w:val="18"/>
              </w:rPr>
              <w:t xml:space="preserve"> 三</w:t>
            </w: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jc w:val="left"/>
              <w:rPr>
                <w:spacing w:val="-5"/>
                <w:sz w:val="18"/>
              </w:rPr>
            </w:pPr>
            <w:r>
              <w:rPr>
                <w:rFonts w:hint="eastAsia"/>
                <w:spacing w:val="-5"/>
                <w:sz w:val="18"/>
              </w:rPr>
              <w:t>负压站压力监测报警系统</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left"/>
              <w:rPr>
                <w:spacing w:val="-5"/>
                <w:sz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widowControl/>
              <w:spacing w:line="15" w:lineRule="atLeast"/>
              <w:jc w:val="left"/>
              <w:rPr>
                <w:spacing w:val="-5"/>
                <w:sz w:val="18"/>
              </w:rPr>
            </w:pPr>
            <w:r>
              <w:rPr>
                <w:rFonts w:hint="eastAsia"/>
                <w:spacing w:val="-5"/>
                <w:sz w:val="18"/>
              </w:rPr>
              <w:t>数字化显示，实时显示气体压力数值。</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left"/>
              <w:rPr>
                <w:spacing w:val="-5"/>
                <w:sz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widowControl/>
              <w:spacing w:line="15" w:lineRule="atLeast"/>
              <w:jc w:val="left"/>
              <w:rPr>
                <w:spacing w:val="-5"/>
                <w:sz w:val="18"/>
              </w:rPr>
            </w:pPr>
            <w:r>
              <w:rPr>
                <w:rFonts w:hint="eastAsia"/>
                <w:spacing w:val="-5"/>
                <w:sz w:val="18"/>
              </w:rPr>
              <w:t>声光报警功能，高压、欠压均可报警提示。</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left"/>
              <w:rPr>
                <w:spacing w:val="-5"/>
                <w:sz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widowControl/>
              <w:spacing w:line="15" w:lineRule="atLeast"/>
              <w:jc w:val="left"/>
              <w:rPr>
                <w:spacing w:val="-5"/>
                <w:sz w:val="18"/>
              </w:rPr>
            </w:pPr>
            <w:r>
              <w:rPr>
                <w:rFonts w:hint="eastAsia"/>
                <w:spacing w:val="-5"/>
                <w:sz w:val="18"/>
              </w:rPr>
              <w:t>标配RS485接口，可实现远程报警。</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left"/>
              <w:rPr>
                <w:spacing w:val="-5"/>
                <w:sz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widowControl/>
              <w:spacing w:line="15" w:lineRule="atLeast"/>
              <w:jc w:val="left"/>
              <w:rPr>
                <w:spacing w:val="-5"/>
                <w:sz w:val="18"/>
              </w:rPr>
            </w:pPr>
            <w:r>
              <w:rPr>
                <w:rFonts w:hint="eastAsia"/>
                <w:spacing w:val="-5"/>
                <w:sz w:val="18"/>
              </w:rPr>
              <w:t>全不锈钢高精度传感器，性能稳定可靠。</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left"/>
              <w:rPr>
                <w:spacing w:val="-5"/>
                <w:sz w:val="18"/>
              </w:rPr>
            </w:pP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jc w:val="left"/>
              <w:rPr>
                <w:spacing w:val="-5"/>
                <w:sz w:val="18"/>
              </w:rPr>
            </w:pPr>
            <w:r>
              <w:rPr>
                <w:rFonts w:hint="eastAsia"/>
                <w:spacing w:val="-5"/>
                <w:sz w:val="18"/>
              </w:rPr>
              <w:t>为确保可靠性和安全性，报警系统需具备二类医疗器械注册证。</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4" w:space="0"/>
              <w:right w:val="single" w:color="000000" w:sz="4" w:space="0"/>
            </w:tcBorders>
            <w:shd w:val="clear" w:color="000000" w:fill="FFFFFF"/>
            <w:tcMar>
              <w:left w:w="14" w:type="dxa"/>
              <w:right w:w="14" w:type="dxa"/>
            </w:tcMar>
            <w:vAlign w:val="center"/>
          </w:tcPr>
          <w:p>
            <w:pPr>
              <w:jc w:val="center"/>
              <w:rPr>
                <w:sz w:val="18"/>
                <w:szCs w:val="18"/>
              </w:rPr>
            </w:pPr>
            <w:r>
              <w:rPr>
                <w:rFonts w:hint="eastAsia"/>
                <w:sz w:val="18"/>
                <w:szCs w:val="18"/>
              </w:rPr>
              <w:t>四</w:t>
            </w:r>
          </w:p>
        </w:tc>
        <w:tc>
          <w:tcPr>
            <w:tcW w:w="6480"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tcPr>
          <w:p>
            <w:pPr>
              <w:jc w:val="left"/>
              <w:rPr>
                <w:szCs w:val="21"/>
              </w:rPr>
            </w:pPr>
            <w:r>
              <w:rPr>
                <w:rFonts w:hint="eastAsia"/>
                <w:szCs w:val="21"/>
              </w:rPr>
              <w:t>配件</w:t>
            </w:r>
          </w:p>
        </w:tc>
        <w:tc>
          <w:tcPr>
            <w:tcW w:w="1322"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4"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trHeight w:val="462" w:hRule="atLeast"/>
          <w:jc w:val="center"/>
        </w:trPr>
        <w:tc>
          <w:tcPr>
            <w:tcW w:w="610" w:type="dxa"/>
            <w:tcBorders>
              <w:top w:val="single" w:color="000000" w:sz="6" w:space="0"/>
              <w:left w:val="single" w:color="000000" w:sz="4" w:space="0"/>
              <w:bottom w:val="single" w:color="000000" w:sz="6"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tcPr>
          <w:p>
            <w:pPr>
              <w:ind w:left="94"/>
              <w:jc w:val="left"/>
              <w:rPr>
                <w:szCs w:val="21"/>
              </w:rPr>
            </w:pPr>
            <w:r>
              <w:rPr>
                <w:sz w:val="18"/>
              </w:rPr>
              <w:t>真空开关</w:t>
            </w:r>
            <w:r>
              <w:rPr>
                <w:rFonts w:hint="eastAsia"/>
                <w:sz w:val="18"/>
              </w:rPr>
              <w:t>：</w:t>
            </w:r>
            <w:r>
              <w:rPr>
                <w:sz w:val="18"/>
                <w:szCs w:val="24"/>
              </w:rPr>
              <w:t>量程范围：-0.1-0Mbar</w:t>
            </w:r>
          </w:p>
        </w:tc>
        <w:tc>
          <w:tcPr>
            <w:tcW w:w="1322"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vAlign w:val="center"/>
          </w:tcPr>
          <w:p>
            <w:pPr>
              <w:rPr>
                <w:rFonts w:ascii="宋体" w:cs="宋体"/>
                <w:sz w:val="18"/>
                <w:szCs w:val="18"/>
              </w:rPr>
            </w:pPr>
          </w:p>
        </w:tc>
      </w:tr>
      <w:tr>
        <w:tblPrEx>
          <w:tblCellMar>
            <w:top w:w="0" w:type="dxa"/>
            <w:left w:w="108" w:type="dxa"/>
            <w:bottom w:w="0" w:type="dxa"/>
            <w:right w:w="108" w:type="dxa"/>
          </w:tblCellMar>
        </w:tblPrEx>
        <w:trPr>
          <w:jc w:val="center"/>
        </w:trPr>
        <w:tc>
          <w:tcPr>
            <w:tcW w:w="610" w:type="dxa"/>
            <w:tcBorders>
              <w:top w:val="single" w:color="000000" w:sz="6" w:space="0"/>
              <w:left w:val="single" w:color="000000" w:sz="4" w:space="0"/>
              <w:bottom w:val="single" w:color="000000" w:sz="6" w:space="0"/>
              <w:right w:val="single" w:color="000000" w:sz="4" w:space="0"/>
            </w:tcBorders>
            <w:shd w:val="clear" w:color="000000" w:fill="FFFFFF"/>
            <w:tcMar>
              <w:left w:w="14" w:type="dxa"/>
              <w:right w:w="14" w:type="dxa"/>
            </w:tcMar>
            <w:vAlign w:val="center"/>
          </w:tcPr>
          <w:p>
            <w:pPr>
              <w:jc w:val="center"/>
              <w:rPr>
                <w:sz w:val="18"/>
                <w:szCs w:val="18"/>
              </w:rPr>
            </w:pPr>
          </w:p>
        </w:tc>
        <w:tc>
          <w:tcPr>
            <w:tcW w:w="6480"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tcPr>
          <w:p>
            <w:pPr>
              <w:spacing w:line="360" w:lineRule="auto"/>
              <w:rPr>
                <w:szCs w:val="21"/>
              </w:rPr>
            </w:pPr>
            <w:r>
              <w:rPr>
                <w:sz w:val="18"/>
              </w:rPr>
              <w:t>手动球阀</w:t>
            </w:r>
            <w:r>
              <w:rPr>
                <w:rFonts w:hint="eastAsia"/>
                <w:sz w:val="18"/>
              </w:rPr>
              <w:t>、</w:t>
            </w:r>
            <w:r>
              <w:rPr>
                <w:sz w:val="18"/>
              </w:rPr>
              <w:t>止回阀</w:t>
            </w:r>
            <w:r>
              <w:rPr>
                <w:rFonts w:hint="eastAsia"/>
                <w:sz w:val="18"/>
              </w:rPr>
              <w:t>：</w:t>
            </w:r>
            <w:r>
              <w:rPr>
                <w:sz w:val="18"/>
              </w:rPr>
              <w:t>SS304或铜质</w:t>
            </w:r>
            <w:r>
              <w:rPr>
                <w:rFonts w:hint="eastAsia"/>
                <w:sz w:val="18"/>
              </w:rPr>
              <w:t>，</w:t>
            </w:r>
            <w:r>
              <w:rPr>
                <w:sz w:val="18"/>
              </w:rPr>
              <w:t>连接管道和基架</w:t>
            </w:r>
            <w:r>
              <w:rPr>
                <w:rFonts w:hint="eastAsia"/>
                <w:sz w:val="18"/>
              </w:rPr>
              <w:t>：</w:t>
            </w:r>
            <w:r>
              <w:rPr>
                <w:sz w:val="18"/>
              </w:rPr>
              <w:t>碳钢、不锈钢</w:t>
            </w:r>
            <w:r>
              <w:rPr>
                <w:rFonts w:hint="eastAsia"/>
                <w:sz w:val="18"/>
              </w:rPr>
              <w:t>等满足系统功能需求</w:t>
            </w:r>
          </w:p>
        </w:tc>
        <w:tc>
          <w:tcPr>
            <w:tcW w:w="1322"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1238"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vAlign w:val="center"/>
          </w:tcPr>
          <w:p>
            <w:pPr>
              <w:rPr>
                <w:rFonts w:ascii="宋体" w:cs="宋体"/>
                <w:sz w:val="18"/>
                <w:szCs w:val="18"/>
              </w:rPr>
            </w:pPr>
          </w:p>
        </w:tc>
        <w:tc>
          <w:tcPr>
            <w:tcW w:w="944" w:type="dxa"/>
            <w:tcBorders>
              <w:top w:val="single" w:color="000000" w:sz="6" w:space="0"/>
              <w:left w:val="single" w:color="000000" w:sz="6" w:space="0"/>
              <w:bottom w:val="single" w:color="000000" w:sz="6" w:space="0"/>
              <w:right w:val="single" w:color="000000" w:sz="4" w:space="0"/>
            </w:tcBorders>
            <w:shd w:val="clear" w:color="000000" w:fill="FFFFFF"/>
            <w:tcMar>
              <w:left w:w="14" w:type="dxa"/>
              <w:right w:w="14" w:type="dxa"/>
            </w:tcMar>
            <w:vAlign w:val="center"/>
          </w:tcPr>
          <w:p>
            <w:pPr>
              <w:rPr>
                <w:rFonts w:ascii="宋体" w:cs="宋体"/>
                <w:sz w:val="18"/>
                <w:szCs w:val="18"/>
              </w:rPr>
            </w:pPr>
          </w:p>
        </w:tc>
      </w:tr>
    </w:tbl>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hint="eastAsia" w:ascii="仿宋_GB2312" w:hAnsi="宋体" w:eastAsia="仿宋_GB2312" w:cs="宋体"/>
          <w:b/>
          <w:bCs/>
          <w:color w:val="000000"/>
          <w:kern w:val="0"/>
          <w:sz w:val="24"/>
          <w:szCs w:val="24"/>
        </w:rPr>
        <w:t>备注：报价供应商必须在</w:t>
      </w:r>
      <w:r>
        <w:rPr>
          <w:rFonts w:hint="eastAsia" w:ascii="仿宋_GB2312" w:hAnsi="宋体" w:eastAsia="仿宋_GB2312" w:cs="宋体"/>
          <w:b/>
          <w:bCs/>
          <w:color w:val="000000"/>
          <w:kern w:val="0"/>
          <w:sz w:val="24"/>
          <w:szCs w:val="24"/>
          <w:u w:val="single"/>
        </w:rPr>
        <w:t>报价货物详细响应情况</w:t>
      </w:r>
      <w:r>
        <w:rPr>
          <w:rFonts w:hint="eastAsia" w:ascii="仿宋_GB2312" w:hAnsi="宋体" w:eastAsia="仿宋_GB2312" w:cs="宋体"/>
          <w:b/>
          <w:bCs/>
          <w:color w:val="000000"/>
          <w:kern w:val="0"/>
          <w:sz w:val="24"/>
          <w:szCs w:val="24"/>
        </w:rPr>
        <w:t>中逐条填写报价货物的实际情况及技术参数，须与采购要求对应，不得照抄。并在</w:t>
      </w:r>
      <w:r>
        <w:rPr>
          <w:rFonts w:hint="eastAsia" w:ascii="仿宋_GB2312" w:hAnsi="宋体" w:eastAsia="仿宋_GB2312" w:cs="宋体"/>
          <w:b/>
          <w:bCs/>
          <w:color w:val="000000"/>
          <w:kern w:val="0"/>
          <w:sz w:val="24"/>
          <w:szCs w:val="24"/>
          <w:u w:val="single"/>
        </w:rPr>
        <w:t>偏离情况</w:t>
      </w:r>
      <w:r>
        <w:rPr>
          <w:rFonts w:hint="eastAsia" w:ascii="仿宋_GB2312" w:hAnsi="宋体" w:eastAsia="仿宋_GB2312" w:cs="宋体"/>
          <w:b/>
          <w:bCs/>
          <w:color w:val="000000"/>
          <w:kern w:val="0"/>
          <w:sz w:val="24"/>
          <w:szCs w:val="24"/>
        </w:rPr>
        <w:t>中写”符合”“正偏离”或者“负偏离”。因本表较长，因此报价供应商须在偏离表每页加盖公章予以确认。</w:t>
      </w:r>
    </w:p>
    <w:p>
      <w:pPr>
        <w:widowControl/>
        <w:shd w:val="clear" w:color="auto" w:fill="FFFFFF"/>
        <w:spacing w:before="100" w:beforeAutospacing="1" w:after="100" w:afterAutospacing="1" w:line="440" w:lineRule="exact"/>
        <w:ind w:firstLine="480" w:firstLineChars="200"/>
        <w:jc w:val="left"/>
        <w:rPr>
          <w:rFonts w:ascii="宋体" w:cs="宋体"/>
          <w:color w:val="333333"/>
          <w:kern w:val="0"/>
          <w:sz w:val="24"/>
          <w:szCs w:val="24"/>
        </w:rPr>
      </w:pPr>
      <w:r>
        <w:rPr>
          <w:rFonts w:hint="eastAsia" w:ascii="仿宋_GB2312" w:hAnsi="宋体" w:eastAsia="仿宋_GB2312" w:cs="宋体"/>
          <w:color w:val="333333"/>
          <w:kern w:val="0"/>
          <w:sz w:val="24"/>
          <w:szCs w:val="24"/>
        </w:rPr>
        <w:t>报价单位盖章：</w:t>
      </w:r>
      <w:r>
        <w:rPr>
          <w:rFonts w:hint="eastAsia" w:ascii="仿宋_GB2312" w:hAnsi="宋体" w:eastAsia="仿宋_GB2312" w:cs="宋体"/>
          <w:color w:val="333333"/>
          <w:kern w:val="0"/>
          <w:sz w:val="24"/>
          <w:szCs w:val="24"/>
          <w:u w:val="single"/>
        </w:rPr>
        <w:t>　　　　　　　</w:t>
      </w:r>
      <w:r>
        <w:rPr>
          <w:rFonts w:hint="eastAsia" w:ascii="仿宋_GB2312" w:hAnsi="宋体" w:eastAsia="仿宋_GB2312" w:cs="宋体"/>
          <w:color w:val="333333"/>
          <w:kern w:val="0"/>
          <w:sz w:val="24"/>
          <w:szCs w:val="24"/>
        </w:rPr>
        <w:t>法人代表签字：</w:t>
      </w:r>
      <w:r>
        <w:rPr>
          <w:rFonts w:hint="eastAsia" w:ascii="仿宋_GB2312" w:hAnsi="宋体" w:eastAsia="仿宋_GB2312" w:cs="宋体"/>
          <w:color w:val="333333"/>
          <w:kern w:val="0"/>
          <w:sz w:val="24"/>
          <w:szCs w:val="24"/>
          <w:u w:val="single"/>
        </w:rPr>
        <w:t>　　　　　　　　　</w:t>
      </w:r>
    </w:p>
    <w:p>
      <w:pPr>
        <w:widowControl/>
        <w:shd w:val="clear" w:color="auto" w:fill="FFFFFF"/>
        <w:spacing w:before="100" w:beforeAutospacing="1" w:after="100" w:afterAutospacing="1" w:line="440" w:lineRule="exact"/>
        <w:ind w:right="560" w:firstLine="5760" w:firstLineChars="2400"/>
        <w:jc w:val="left"/>
        <w:rPr>
          <w:rFonts w:ascii="宋体" w:cs="宋体"/>
          <w:color w:val="333333"/>
          <w:kern w:val="0"/>
          <w:sz w:val="24"/>
          <w:szCs w:val="24"/>
        </w:rPr>
      </w:pPr>
      <w:r>
        <w:rPr>
          <w:rFonts w:hint="eastAsia" w:ascii="仿宋_GB2312" w:hAnsi="宋体" w:eastAsia="仿宋_GB2312" w:cs="宋体"/>
          <w:color w:val="333333"/>
          <w:kern w:val="0"/>
          <w:sz w:val="24"/>
          <w:szCs w:val="24"/>
        </w:rPr>
        <w:t>年  月   日</w:t>
      </w:r>
    </w:p>
    <w:p>
      <w:pPr>
        <w:widowControl/>
        <w:shd w:val="clear" w:color="auto" w:fill="FFFFFF"/>
        <w:spacing w:before="100" w:beforeAutospacing="1" w:after="100" w:afterAutospacing="1" w:line="440" w:lineRule="exact"/>
        <w:jc w:val="left"/>
        <w:rPr>
          <w:rFonts w:ascii="微软雅黑" w:hAnsi="微软雅黑" w:eastAsia="微软雅黑" w:cs="宋体"/>
          <w:color w:val="333333"/>
          <w:kern w:val="0"/>
          <w:sz w:val="24"/>
          <w:szCs w:val="24"/>
        </w:rPr>
      </w:pPr>
      <w:r>
        <w:rPr>
          <w:rFonts w:ascii="仿宋_GB2312" w:hAnsi="微软雅黑" w:eastAsia="仿宋_GB2312" w:cs="宋体"/>
          <w:b/>
          <w:bCs/>
          <w:color w:val="333333"/>
          <w:kern w:val="0"/>
          <w:sz w:val="24"/>
          <w:szCs w:val="24"/>
        </w:rPr>
        <w:t> </w:t>
      </w:r>
      <w:r>
        <w:rPr>
          <w:rFonts w:hint="eastAsia" w:ascii="仿宋_GB2312" w:hAnsi="微软雅黑" w:eastAsia="仿宋_GB2312" w:cs="宋体"/>
          <w:b/>
          <w:bCs/>
          <w:color w:val="333333"/>
          <w:kern w:val="0"/>
          <w:sz w:val="28"/>
          <w:szCs w:val="28"/>
        </w:rPr>
        <w:t>附件四、报价表范本</w:t>
      </w:r>
    </w:p>
    <w:p>
      <w:pPr>
        <w:widowControl/>
        <w:shd w:val="clear" w:color="auto" w:fill="FFFFFF"/>
        <w:spacing w:before="100" w:beforeAutospacing="1" w:after="100" w:afterAutospacing="1" w:line="440" w:lineRule="exact"/>
        <w:jc w:val="center"/>
        <w:rPr>
          <w:rFonts w:ascii="宋体" w:cs="宋体"/>
          <w:color w:val="333333"/>
          <w:kern w:val="0"/>
          <w:sz w:val="44"/>
          <w:szCs w:val="44"/>
        </w:rPr>
      </w:pPr>
      <w:r>
        <w:rPr>
          <w:rFonts w:hint="eastAsia" w:ascii="黑体" w:hAnsi="黑体" w:eastAsia="黑体" w:cs="宋体"/>
          <w:b/>
          <w:bCs/>
          <w:color w:val="333333"/>
          <w:kern w:val="0"/>
          <w:sz w:val="44"/>
          <w:szCs w:val="44"/>
        </w:rPr>
        <w:t>报</w:t>
      </w:r>
      <w:r>
        <w:rPr>
          <w:rFonts w:ascii="宋体" w:cs="宋体"/>
          <w:b/>
          <w:bCs/>
          <w:color w:val="333333"/>
          <w:kern w:val="0"/>
          <w:sz w:val="44"/>
          <w:szCs w:val="44"/>
        </w:rPr>
        <w:t>   </w:t>
      </w:r>
      <w:r>
        <w:rPr>
          <w:rFonts w:hint="eastAsia" w:ascii="黑体" w:hAnsi="黑体" w:eastAsia="黑体" w:cs="宋体"/>
          <w:b/>
          <w:bCs/>
          <w:color w:val="333333"/>
          <w:kern w:val="0"/>
          <w:sz w:val="44"/>
          <w:szCs w:val="44"/>
        </w:rPr>
        <w:t>价</w:t>
      </w:r>
      <w:r>
        <w:rPr>
          <w:rFonts w:ascii="宋体" w:cs="宋体"/>
          <w:b/>
          <w:bCs/>
          <w:color w:val="333333"/>
          <w:kern w:val="0"/>
          <w:sz w:val="44"/>
          <w:szCs w:val="44"/>
        </w:rPr>
        <w:t>   </w:t>
      </w:r>
      <w:r>
        <w:rPr>
          <w:rFonts w:hint="eastAsia" w:ascii="黑体" w:hAnsi="黑体" w:eastAsia="黑体" w:cs="宋体"/>
          <w:b/>
          <w:bCs/>
          <w:color w:val="333333"/>
          <w:kern w:val="0"/>
          <w:sz w:val="44"/>
          <w:szCs w:val="44"/>
        </w:rPr>
        <w:t>表</w:t>
      </w:r>
    </w:p>
    <w:p>
      <w:pPr>
        <w:widowControl/>
        <w:spacing w:before="100" w:beforeAutospacing="1" w:after="100" w:afterAutospacing="1" w:line="440" w:lineRule="exact"/>
        <w:jc w:val="center"/>
        <w:rPr>
          <w:rFonts w:ascii="宋体" w:cs="宋体"/>
          <w:color w:val="333333"/>
          <w:kern w:val="0"/>
          <w:sz w:val="24"/>
          <w:szCs w:val="24"/>
        </w:rPr>
      </w:pPr>
      <w:r>
        <w:rPr>
          <w:rFonts w:hint="eastAsia" w:ascii="仿宋_GB2312" w:hAnsi="宋体" w:eastAsia="仿宋_GB2312" w:cs="宋体"/>
          <w:color w:val="333333"/>
          <w:kern w:val="0"/>
          <w:sz w:val="28"/>
          <w:szCs w:val="28"/>
        </w:rPr>
        <w:t>启东市人民医院负压吸引设备项目</w:t>
      </w:r>
    </w:p>
    <w:p>
      <w:pPr>
        <w:widowControl/>
        <w:shd w:val="clear" w:color="auto" w:fill="FFFFFF"/>
        <w:spacing w:line="440" w:lineRule="exact"/>
        <w:jc w:val="center"/>
        <w:rPr>
          <w:rFonts w:ascii="微软雅黑" w:hAnsi="微软雅黑" w:eastAsia="微软雅黑" w:cs="宋体"/>
          <w:vanish/>
          <w:color w:val="333333"/>
          <w:kern w:val="0"/>
          <w:sz w:val="14"/>
          <w:szCs w:val="14"/>
        </w:rPr>
      </w:pPr>
    </w:p>
    <w:tbl>
      <w:tblPr>
        <w:tblStyle w:val="14"/>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4"/>
        <w:gridCol w:w="1863"/>
        <w:gridCol w:w="2143"/>
        <w:gridCol w:w="711"/>
        <w:gridCol w:w="952"/>
        <w:gridCol w:w="4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4" w:hRule="atLeast"/>
          <w:jc w:val="center"/>
        </w:trPr>
        <w:tc>
          <w:tcPr>
            <w:tcW w:w="734" w:type="dxa"/>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b/>
                <w:bCs/>
                <w:color w:val="333333"/>
                <w:kern w:val="0"/>
                <w:szCs w:val="21"/>
              </w:rPr>
              <w:t>序号</w:t>
            </w:r>
          </w:p>
        </w:tc>
        <w:tc>
          <w:tcPr>
            <w:tcW w:w="1863" w:type="dxa"/>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b/>
                <w:bCs/>
                <w:color w:val="333333"/>
                <w:kern w:val="0"/>
                <w:szCs w:val="21"/>
              </w:rPr>
              <w:t>货物名称</w:t>
            </w:r>
          </w:p>
        </w:tc>
        <w:tc>
          <w:tcPr>
            <w:tcW w:w="2143" w:type="dxa"/>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b/>
                <w:bCs/>
                <w:color w:val="333333"/>
                <w:kern w:val="0"/>
                <w:szCs w:val="21"/>
              </w:rPr>
              <w:t>报价货物品牌、型号</w:t>
            </w:r>
          </w:p>
        </w:tc>
        <w:tc>
          <w:tcPr>
            <w:tcW w:w="711" w:type="dxa"/>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b/>
                <w:bCs/>
                <w:color w:val="333333"/>
                <w:kern w:val="0"/>
                <w:szCs w:val="21"/>
              </w:rPr>
              <w:t>数量</w:t>
            </w:r>
          </w:p>
        </w:tc>
        <w:tc>
          <w:tcPr>
            <w:tcW w:w="952" w:type="dxa"/>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b/>
                <w:bCs/>
                <w:color w:val="333333"/>
                <w:kern w:val="0"/>
                <w:szCs w:val="21"/>
              </w:rPr>
              <w:t>单位</w:t>
            </w:r>
          </w:p>
        </w:tc>
        <w:tc>
          <w:tcPr>
            <w:tcW w:w="4160" w:type="dxa"/>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b/>
                <w:bCs/>
                <w:color w:val="333333"/>
                <w:kern w:val="0"/>
                <w:szCs w:val="21"/>
              </w:rPr>
              <w:t>单价（元</w:t>
            </w:r>
            <w:r>
              <w:rPr>
                <w:rFonts w:ascii="宋体" w:hAnsi="宋体" w:cs="宋体"/>
                <w:b/>
                <w:bCs/>
                <w:color w:val="333333"/>
                <w:kern w:val="0"/>
                <w:szCs w:val="21"/>
              </w:rPr>
              <w:t>/</w:t>
            </w:r>
            <w:r>
              <w:rPr>
                <w:rFonts w:hint="eastAsia" w:ascii="宋体" w:hAnsi="宋体" w:cs="宋体"/>
                <w:b/>
                <w:bCs/>
                <w:color w:val="333333"/>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1" w:hRule="atLeast"/>
          <w:jc w:val="center"/>
        </w:trPr>
        <w:tc>
          <w:tcPr>
            <w:tcW w:w="734" w:type="dxa"/>
            <w:vMerge w:val="restart"/>
            <w:vAlign w:val="center"/>
          </w:tcPr>
          <w:p>
            <w:pPr>
              <w:widowControl/>
              <w:spacing w:before="100" w:beforeAutospacing="1" w:after="100" w:afterAutospacing="1" w:line="440" w:lineRule="exact"/>
              <w:jc w:val="center"/>
              <w:rPr>
                <w:rFonts w:ascii="宋体" w:cs="宋体"/>
                <w:color w:val="333333"/>
                <w:kern w:val="0"/>
                <w:sz w:val="24"/>
                <w:szCs w:val="24"/>
              </w:rPr>
            </w:pPr>
            <w:r>
              <w:rPr>
                <w:rFonts w:ascii="宋体" w:hAnsi="宋体" w:cs="宋体"/>
                <w:color w:val="000000"/>
                <w:kern w:val="0"/>
                <w:sz w:val="20"/>
                <w:szCs w:val="20"/>
              </w:rPr>
              <w:t>1</w:t>
            </w:r>
          </w:p>
        </w:tc>
        <w:tc>
          <w:tcPr>
            <w:tcW w:w="1863" w:type="dxa"/>
            <w:vMerge w:val="restart"/>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cs="宋体"/>
                <w:color w:val="333333"/>
                <w:kern w:val="0"/>
                <w:sz w:val="24"/>
                <w:szCs w:val="24"/>
              </w:rPr>
              <w:t>负压吸引设备</w:t>
            </w:r>
          </w:p>
        </w:tc>
        <w:tc>
          <w:tcPr>
            <w:tcW w:w="2143" w:type="dxa"/>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ascii="宋体" w:cs="宋体"/>
                <w:color w:val="000000"/>
                <w:kern w:val="0"/>
                <w:sz w:val="18"/>
                <w:szCs w:val="18"/>
              </w:rPr>
              <w:t> </w:t>
            </w:r>
            <w:r>
              <w:rPr>
                <w:rFonts w:hint="eastAsia"/>
                <w:sz w:val="18"/>
              </w:rPr>
              <w:t>负压吸引</w:t>
            </w:r>
            <w:r>
              <w:rPr>
                <w:sz w:val="18"/>
              </w:rPr>
              <w:t>真空泵</w:t>
            </w:r>
            <w:r>
              <w:rPr>
                <w:rFonts w:hint="eastAsia"/>
                <w:sz w:val="18"/>
              </w:rPr>
              <w:t>（两台）</w:t>
            </w:r>
          </w:p>
        </w:tc>
        <w:tc>
          <w:tcPr>
            <w:tcW w:w="711" w:type="dxa"/>
            <w:vMerge w:val="restart"/>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r>
              <w:rPr>
                <w:rFonts w:hint="eastAsia" w:ascii="宋体" w:hAnsi="宋体" w:cs="宋体"/>
                <w:color w:val="000000"/>
                <w:kern w:val="0"/>
                <w:sz w:val="20"/>
                <w:szCs w:val="20"/>
              </w:rPr>
              <w:t>套</w:t>
            </w:r>
          </w:p>
        </w:tc>
        <w:tc>
          <w:tcPr>
            <w:tcW w:w="952" w:type="dxa"/>
            <w:vMerge w:val="restart"/>
            <w:tcBorders>
              <w:left w:val="nil"/>
            </w:tcBorders>
            <w:vAlign w:val="center"/>
          </w:tcPr>
          <w:p>
            <w:pPr>
              <w:widowControl/>
              <w:spacing w:before="100" w:beforeAutospacing="1" w:after="100" w:afterAutospacing="1" w:line="440" w:lineRule="exact"/>
              <w:jc w:val="center"/>
              <w:textAlignment w:val="center"/>
              <w:rPr>
                <w:rFonts w:ascii="宋体" w:cs="宋体"/>
                <w:color w:val="333333"/>
                <w:kern w:val="0"/>
                <w:sz w:val="24"/>
                <w:szCs w:val="24"/>
              </w:rPr>
            </w:pPr>
            <w:r>
              <w:rPr>
                <w:rFonts w:hint="eastAsia" w:ascii="宋体" w:cs="宋体"/>
                <w:color w:val="333333"/>
                <w:kern w:val="0"/>
                <w:sz w:val="24"/>
                <w:szCs w:val="24"/>
              </w:rPr>
              <w:t>1</w:t>
            </w:r>
          </w:p>
        </w:tc>
        <w:tc>
          <w:tcPr>
            <w:tcW w:w="4160" w:type="dxa"/>
            <w:vMerge w:val="restart"/>
            <w:tcBorders>
              <w:left w:val="nil"/>
            </w:tcBorders>
            <w:vAlign w:val="center"/>
          </w:tcPr>
          <w:p>
            <w:pPr>
              <w:widowControl/>
              <w:spacing w:before="100" w:beforeAutospacing="1" w:after="100" w:afterAutospacing="1" w:line="440" w:lineRule="exact"/>
              <w:jc w:val="left"/>
              <w:rPr>
                <w:rFonts w:ascii="宋体" w:cs="宋体"/>
                <w:color w:val="333333"/>
                <w:kern w:val="0"/>
                <w:sz w:val="24"/>
                <w:szCs w:val="24"/>
              </w:rPr>
            </w:pPr>
            <w:r>
              <w:rPr>
                <w:rFonts w:ascii="宋体" w:cs="Calibri"/>
                <w:b/>
                <w:bCs/>
                <w:color w:val="333333"/>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734" w:type="dxa"/>
            <w:vMerge w:val="continue"/>
            <w:vAlign w:val="center"/>
          </w:tcPr>
          <w:p>
            <w:pPr>
              <w:widowControl/>
              <w:spacing w:before="100" w:beforeAutospacing="1" w:after="100" w:afterAutospacing="1" w:line="440" w:lineRule="exact"/>
              <w:jc w:val="center"/>
              <w:rPr>
                <w:rFonts w:ascii="宋体" w:hAnsi="宋体" w:cs="宋体"/>
                <w:color w:val="000000"/>
                <w:kern w:val="0"/>
                <w:sz w:val="20"/>
                <w:szCs w:val="20"/>
              </w:rPr>
            </w:pPr>
          </w:p>
        </w:tc>
        <w:tc>
          <w:tcPr>
            <w:tcW w:w="1863" w:type="dxa"/>
            <w:vMerge w:val="continue"/>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p>
        </w:tc>
        <w:tc>
          <w:tcPr>
            <w:tcW w:w="2143" w:type="dxa"/>
            <w:tcBorders>
              <w:left w:val="nil"/>
            </w:tcBorders>
            <w:vAlign w:val="center"/>
          </w:tcPr>
          <w:p>
            <w:pPr>
              <w:widowControl/>
              <w:spacing w:before="100" w:beforeAutospacing="1" w:after="100" w:afterAutospacing="1" w:line="440" w:lineRule="exact"/>
              <w:jc w:val="center"/>
              <w:rPr>
                <w:rFonts w:ascii="宋体" w:cs="宋体"/>
                <w:color w:val="000000"/>
                <w:kern w:val="0"/>
                <w:sz w:val="18"/>
                <w:szCs w:val="18"/>
              </w:rPr>
            </w:pPr>
            <w:r>
              <w:rPr>
                <w:sz w:val="18"/>
              </w:rPr>
              <w:t>控制箱</w:t>
            </w:r>
          </w:p>
        </w:tc>
        <w:tc>
          <w:tcPr>
            <w:tcW w:w="711" w:type="dxa"/>
            <w:vMerge w:val="continue"/>
            <w:tcBorders>
              <w:left w:val="nil"/>
            </w:tcBorders>
            <w:vAlign w:val="center"/>
          </w:tcPr>
          <w:p>
            <w:pPr>
              <w:widowControl/>
              <w:spacing w:before="100" w:beforeAutospacing="1" w:after="100" w:afterAutospacing="1" w:line="440" w:lineRule="exact"/>
              <w:jc w:val="center"/>
              <w:rPr>
                <w:rFonts w:ascii="宋体" w:hAnsi="宋体" w:cs="宋体"/>
                <w:color w:val="000000"/>
                <w:kern w:val="0"/>
                <w:sz w:val="20"/>
                <w:szCs w:val="20"/>
              </w:rPr>
            </w:pPr>
          </w:p>
        </w:tc>
        <w:tc>
          <w:tcPr>
            <w:tcW w:w="952" w:type="dxa"/>
            <w:vMerge w:val="continue"/>
            <w:tcBorders>
              <w:left w:val="nil"/>
            </w:tcBorders>
            <w:vAlign w:val="center"/>
          </w:tcPr>
          <w:p>
            <w:pPr>
              <w:widowControl/>
              <w:spacing w:before="100" w:beforeAutospacing="1" w:after="100" w:afterAutospacing="1" w:line="440" w:lineRule="exact"/>
              <w:jc w:val="center"/>
              <w:textAlignment w:val="center"/>
              <w:rPr>
                <w:rFonts w:ascii="宋体" w:cs="宋体"/>
                <w:color w:val="333333"/>
                <w:kern w:val="0"/>
                <w:sz w:val="24"/>
                <w:szCs w:val="24"/>
              </w:rPr>
            </w:pPr>
          </w:p>
        </w:tc>
        <w:tc>
          <w:tcPr>
            <w:tcW w:w="4160" w:type="dxa"/>
            <w:vMerge w:val="continue"/>
            <w:tcBorders>
              <w:left w:val="nil"/>
            </w:tcBorders>
            <w:vAlign w:val="center"/>
          </w:tcPr>
          <w:p>
            <w:pPr>
              <w:widowControl/>
              <w:spacing w:before="100" w:beforeAutospacing="1" w:after="100" w:afterAutospacing="1" w:line="440" w:lineRule="exact"/>
              <w:jc w:val="left"/>
              <w:rPr>
                <w:rFonts w:ascii="宋体" w:cs="Calibri"/>
                <w:b/>
                <w:bCs/>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734" w:type="dxa"/>
            <w:vMerge w:val="continue"/>
            <w:vAlign w:val="center"/>
          </w:tcPr>
          <w:p>
            <w:pPr>
              <w:widowControl/>
              <w:spacing w:before="100" w:beforeAutospacing="1" w:after="100" w:afterAutospacing="1" w:line="440" w:lineRule="exact"/>
              <w:jc w:val="center"/>
              <w:rPr>
                <w:rFonts w:ascii="宋体" w:hAnsi="宋体" w:cs="宋体"/>
                <w:color w:val="000000"/>
                <w:kern w:val="0"/>
                <w:sz w:val="20"/>
                <w:szCs w:val="20"/>
              </w:rPr>
            </w:pPr>
          </w:p>
        </w:tc>
        <w:tc>
          <w:tcPr>
            <w:tcW w:w="1863" w:type="dxa"/>
            <w:vMerge w:val="continue"/>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p>
        </w:tc>
        <w:tc>
          <w:tcPr>
            <w:tcW w:w="2143" w:type="dxa"/>
            <w:tcBorders>
              <w:left w:val="nil"/>
            </w:tcBorders>
            <w:vAlign w:val="center"/>
          </w:tcPr>
          <w:p>
            <w:pPr>
              <w:widowControl/>
              <w:spacing w:before="100" w:beforeAutospacing="1" w:after="100" w:afterAutospacing="1" w:line="440" w:lineRule="exact"/>
              <w:jc w:val="center"/>
              <w:rPr>
                <w:sz w:val="18"/>
              </w:rPr>
            </w:pPr>
            <w:r>
              <w:rPr>
                <w:rFonts w:hint="eastAsia"/>
                <w:sz w:val="18"/>
              </w:rPr>
              <w:t>负压站压力监控报警系统</w:t>
            </w:r>
          </w:p>
        </w:tc>
        <w:tc>
          <w:tcPr>
            <w:tcW w:w="711" w:type="dxa"/>
            <w:vMerge w:val="continue"/>
            <w:tcBorders>
              <w:left w:val="nil"/>
            </w:tcBorders>
            <w:vAlign w:val="center"/>
          </w:tcPr>
          <w:p>
            <w:pPr>
              <w:widowControl/>
              <w:spacing w:before="100" w:beforeAutospacing="1" w:after="100" w:afterAutospacing="1" w:line="440" w:lineRule="exact"/>
              <w:jc w:val="center"/>
              <w:rPr>
                <w:rFonts w:ascii="宋体" w:hAnsi="宋体" w:cs="宋体"/>
                <w:color w:val="000000"/>
                <w:kern w:val="0"/>
                <w:sz w:val="20"/>
                <w:szCs w:val="20"/>
              </w:rPr>
            </w:pPr>
          </w:p>
        </w:tc>
        <w:tc>
          <w:tcPr>
            <w:tcW w:w="952" w:type="dxa"/>
            <w:vMerge w:val="continue"/>
            <w:tcBorders>
              <w:left w:val="nil"/>
            </w:tcBorders>
            <w:vAlign w:val="center"/>
          </w:tcPr>
          <w:p>
            <w:pPr>
              <w:widowControl/>
              <w:spacing w:before="100" w:beforeAutospacing="1" w:after="100" w:afterAutospacing="1" w:line="440" w:lineRule="exact"/>
              <w:jc w:val="center"/>
              <w:textAlignment w:val="center"/>
              <w:rPr>
                <w:rFonts w:ascii="宋体" w:cs="宋体"/>
                <w:color w:val="333333"/>
                <w:kern w:val="0"/>
                <w:sz w:val="24"/>
                <w:szCs w:val="24"/>
              </w:rPr>
            </w:pPr>
          </w:p>
        </w:tc>
        <w:tc>
          <w:tcPr>
            <w:tcW w:w="4160" w:type="dxa"/>
            <w:vMerge w:val="continue"/>
            <w:tcBorders>
              <w:left w:val="nil"/>
            </w:tcBorders>
            <w:vAlign w:val="center"/>
          </w:tcPr>
          <w:p>
            <w:pPr>
              <w:widowControl/>
              <w:spacing w:before="100" w:beforeAutospacing="1" w:after="100" w:afterAutospacing="1" w:line="440" w:lineRule="exact"/>
              <w:jc w:val="left"/>
              <w:rPr>
                <w:rFonts w:ascii="宋体" w:cs="Calibri"/>
                <w:b/>
                <w:bCs/>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0" w:hRule="atLeast"/>
          <w:jc w:val="center"/>
        </w:trPr>
        <w:tc>
          <w:tcPr>
            <w:tcW w:w="734" w:type="dxa"/>
            <w:vMerge w:val="continue"/>
            <w:vAlign w:val="center"/>
          </w:tcPr>
          <w:p>
            <w:pPr>
              <w:widowControl/>
              <w:spacing w:before="100" w:beforeAutospacing="1" w:after="100" w:afterAutospacing="1" w:line="440" w:lineRule="exact"/>
              <w:jc w:val="center"/>
              <w:rPr>
                <w:rFonts w:ascii="宋体" w:hAnsi="宋体" w:cs="宋体"/>
                <w:color w:val="000000"/>
                <w:kern w:val="0"/>
                <w:sz w:val="20"/>
                <w:szCs w:val="20"/>
              </w:rPr>
            </w:pPr>
          </w:p>
        </w:tc>
        <w:tc>
          <w:tcPr>
            <w:tcW w:w="1863" w:type="dxa"/>
            <w:vMerge w:val="continue"/>
            <w:tcBorders>
              <w:left w:val="nil"/>
            </w:tcBorders>
            <w:vAlign w:val="center"/>
          </w:tcPr>
          <w:p>
            <w:pPr>
              <w:widowControl/>
              <w:spacing w:before="100" w:beforeAutospacing="1" w:after="100" w:afterAutospacing="1" w:line="440" w:lineRule="exact"/>
              <w:jc w:val="center"/>
              <w:rPr>
                <w:rFonts w:ascii="宋体" w:cs="宋体"/>
                <w:color w:val="333333"/>
                <w:kern w:val="0"/>
                <w:sz w:val="24"/>
                <w:szCs w:val="24"/>
              </w:rPr>
            </w:pPr>
          </w:p>
        </w:tc>
        <w:tc>
          <w:tcPr>
            <w:tcW w:w="2143" w:type="dxa"/>
            <w:tcBorders>
              <w:left w:val="nil"/>
            </w:tcBorders>
            <w:vAlign w:val="center"/>
          </w:tcPr>
          <w:p>
            <w:pPr>
              <w:widowControl/>
              <w:spacing w:before="100" w:beforeAutospacing="1" w:after="100" w:afterAutospacing="1" w:line="440" w:lineRule="exact"/>
              <w:jc w:val="center"/>
              <w:rPr>
                <w:rFonts w:ascii="宋体" w:cs="宋体"/>
                <w:color w:val="000000"/>
                <w:kern w:val="0"/>
                <w:sz w:val="18"/>
                <w:szCs w:val="18"/>
              </w:rPr>
            </w:pPr>
            <w:r>
              <w:rPr>
                <w:rFonts w:hint="eastAsia"/>
                <w:szCs w:val="21"/>
              </w:rPr>
              <w:t>配件</w:t>
            </w:r>
          </w:p>
        </w:tc>
        <w:tc>
          <w:tcPr>
            <w:tcW w:w="711" w:type="dxa"/>
            <w:vMerge w:val="continue"/>
            <w:tcBorders>
              <w:left w:val="nil"/>
            </w:tcBorders>
            <w:vAlign w:val="center"/>
          </w:tcPr>
          <w:p>
            <w:pPr>
              <w:widowControl/>
              <w:spacing w:before="100" w:beforeAutospacing="1" w:after="100" w:afterAutospacing="1" w:line="440" w:lineRule="exact"/>
              <w:jc w:val="center"/>
              <w:rPr>
                <w:rFonts w:ascii="宋体" w:hAnsi="宋体" w:cs="宋体"/>
                <w:color w:val="000000"/>
                <w:kern w:val="0"/>
                <w:sz w:val="20"/>
                <w:szCs w:val="20"/>
              </w:rPr>
            </w:pPr>
          </w:p>
        </w:tc>
        <w:tc>
          <w:tcPr>
            <w:tcW w:w="952" w:type="dxa"/>
            <w:vMerge w:val="continue"/>
            <w:tcBorders>
              <w:left w:val="nil"/>
            </w:tcBorders>
            <w:vAlign w:val="center"/>
          </w:tcPr>
          <w:p>
            <w:pPr>
              <w:widowControl/>
              <w:spacing w:before="100" w:beforeAutospacing="1" w:after="100" w:afterAutospacing="1" w:line="440" w:lineRule="exact"/>
              <w:jc w:val="center"/>
              <w:textAlignment w:val="center"/>
              <w:rPr>
                <w:rFonts w:ascii="宋体" w:cs="宋体"/>
                <w:color w:val="333333"/>
                <w:kern w:val="0"/>
                <w:sz w:val="24"/>
                <w:szCs w:val="24"/>
              </w:rPr>
            </w:pPr>
          </w:p>
        </w:tc>
        <w:tc>
          <w:tcPr>
            <w:tcW w:w="4160" w:type="dxa"/>
            <w:vMerge w:val="continue"/>
            <w:tcBorders>
              <w:left w:val="nil"/>
            </w:tcBorders>
            <w:vAlign w:val="center"/>
          </w:tcPr>
          <w:p>
            <w:pPr>
              <w:widowControl/>
              <w:spacing w:before="100" w:beforeAutospacing="1" w:after="100" w:afterAutospacing="1" w:line="440" w:lineRule="exact"/>
              <w:jc w:val="left"/>
              <w:rPr>
                <w:rFonts w:ascii="宋体" w:cs="Calibri"/>
                <w:b/>
                <w:bCs/>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jc w:val="center"/>
        </w:trPr>
        <w:tc>
          <w:tcPr>
            <w:tcW w:w="5451" w:type="dxa"/>
            <w:gridSpan w:val="4"/>
            <w:vAlign w:val="center"/>
          </w:tcPr>
          <w:p>
            <w:pPr>
              <w:widowControl/>
              <w:spacing w:before="100" w:beforeAutospacing="1" w:after="100" w:afterAutospacing="1" w:line="440" w:lineRule="exact"/>
              <w:jc w:val="left"/>
              <w:rPr>
                <w:rFonts w:ascii="宋体" w:cs="宋体"/>
                <w:color w:val="333333"/>
                <w:kern w:val="0"/>
                <w:sz w:val="24"/>
                <w:szCs w:val="24"/>
              </w:rPr>
            </w:pPr>
            <w:r>
              <w:rPr>
                <w:rFonts w:hint="eastAsia" w:ascii="宋体" w:hAnsi="宋体" w:cs="宋体"/>
                <w:b/>
                <w:bCs/>
                <w:color w:val="333333"/>
                <w:kern w:val="0"/>
                <w:szCs w:val="21"/>
              </w:rPr>
              <w:t>总金额（人民币大写）：</w:t>
            </w:r>
          </w:p>
        </w:tc>
        <w:tc>
          <w:tcPr>
            <w:tcW w:w="5112" w:type="dxa"/>
            <w:gridSpan w:val="2"/>
            <w:tcBorders>
              <w:left w:val="nil"/>
            </w:tcBorders>
            <w:vAlign w:val="center"/>
          </w:tcPr>
          <w:p>
            <w:pPr>
              <w:widowControl/>
              <w:spacing w:before="100" w:beforeAutospacing="1" w:after="100" w:afterAutospacing="1" w:line="440" w:lineRule="exact"/>
              <w:jc w:val="left"/>
              <w:rPr>
                <w:rFonts w:ascii="宋体" w:cs="宋体"/>
                <w:color w:val="333333"/>
                <w:kern w:val="0"/>
                <w:sz w:val="24"/>
                <w:szCs w:val="24"/>
              </w:rPr>
            </w:pPr>
            <w:r>
              <w:rPr>
                <w:rFonts w:hint="eastAsia" w:ascii="宋体" w:hAnsi="宋体" w:cs="宋体"/>
                <w:b/>
                <w:bCs/>
                <w:color w:val="333333"/>
                <w:kern w:val="0"/>
                <w:szCs w:val="21"/>
              </w:rPr>
              <w:t>￥（人民币小写）：</w:t>
            </w:r>
          </w:p>
        </w:tc>
      </w:tr>
    </w:tbl>
    <w:p>
      <w:pPr>
        <w:widowControl/>
        <w:shd w:val="clear" w:color="auto" w:fill="FFFFFF"/>
        <w:spacing w:before="100" w:beforeAutospacing="1" w:after="100" w:afterAutospacing="1" w:line="440" w:lineRule="exact"/>
        <w:jc w:val="center"/>
        <w:rPr>
          <w:rFonts w:ascii="宋体" w:cs="宋体"/>
          <w:color w:val="333333"/>
          <w:kern w:val="0"/>
          <w:sz w:val="24"/>
          <w:szCs w:val="24"/>
        </w:rPr>
      </w:pPr>
      <w:r>
        <w:rPr>
          <w:rFonts w:hint="eastAsia" w:ascii="仿宋_GB2312" w:hAnsi="宋体" w:eastAsia="仿宋_GB2312" w:cs="宋体"/>
          <w:color w:val="333333"/>
          <w:kern w:val="0"/>
          <w:sz w:val="28"/>
          <w:szCs w:val="28"/>
          <w:u w:val="single"/>
        </w:rPr>
        <w:t>本报价表须机打并加盖报价单位公章，手填无效。</w:t>
      </w:r>
    </w:p>
    <w:p>
      <w:pPr>
        <w:widowControl/>
        <w:shd w:val="clear" w:color="auto" w:fill="FFFFFF"/>
        <w:spacing w:before="100" w:beforeAutospacing="1" w:after="100" w:afterAutospacing="1" w:line="440" w:lineRule="exact"/>
        <w:ind w:firstLine="560" w:firstLineChars="200"/>
        <w:jc w:val="left"/>
        <w:rPr>
          <w:rFonts w:ascii="宋体" w:cs="宋体"/>
          <w:color w:val="333333"/>
          <w:kern w:val="0"/>
          <w:sz w:val="24"/>
          <w:szCs w:val="24"/>
        </w:rPr>
      </w:pPr>
      <w:r>
        <w:rPr>
          <w:rFonts w:hint="eastAsia" w:ascii="仿宋_GB2312" w:hAnsi="宋体" w:eastAsia="仿宋_GB2312" w:cs="宋体"/>
          <w:color w:val="333333"/>
          <w:kern w:val="0"/>
          <w:sz w:val="28"/>
          <w:szCs w:val="28"/>
        </w:rPr>
        <w:t>报价单位：</w:t>
      </w:r>
      <w:r>
        <w:rPr>
          <w:rFonts w:hint="eastAsia" w:ascii="仿宋_GB2312" w:hAnsi="宋体" w:eastAsia="仿宋_GB2312" w:cs="宋体"/>
          <w:color w:val="333333"/>
          <w:kern w:val="0"/>
          <w:sz w:val="28"/>
          <w:szCs w:val="28"/>
          <w:u w:val="single"/>
        </w:rPr>
        <w:t>　　　　</w:t>
      </w:r>
      <w:r>
        <w:rPr>
          <w:rFonts w:ascii="仿宋_GB2312" w:hAnsi="宋体" w:eastAsia="仿宋_GB2312" w:cs="宋体"/>
          <w:color w:val="333333"/>
          <w:kern w:val="0"/>
          <w:sz w:val="28"/>
          <w:szCs w:val="28"/>
          <w:u w:val="single"/>
        </w:rPr>
        <w:t xml:space="preserve">           </w:t>
      </w:r>
      <w:r>
        <w:rPr>
          <w:rFonts w:hint="eastAsia" w:ascii="仿宋_GB2312" w:hAnsi="宋体" w:eastAsia="仿宋_GB2312" w:cs="宋体"/>
          <w:color w:val="333333"/>
          <w:kern w:val="0"/>
          <w:sz w:val="28"/>
          <w:szCs w:val="28"/>
        </w:rPr>
        <w:t>（须盖章）</w:t>
      </w:r>
      <w:r>
        <w:rPr>
          <w:rFonts w:ascii="仿宋_GB2312" w:hAnsi="宋体" w:eastAsia="仿宋_GB2312" w:cs="宋体"/>
          <w:color w:val="333333"/>
          <w:kern w:val="0"/>
          <w:sz w:val="28"/>
          <w:szCs w:val="28"/>
        </w:rPr>
        <w:t xml:space="preserve">   </w:t>
      </w:r>
    </w:p>
    <w:p>
      <w:pPr>
        <w:widowControl/>
        <w:shd w:val="clear" w:color="auto" w:fill="FFFFFF"/>
        <w:spacing w:before="100" w:beforeAutospacing="1" w:after="100" w:afterAutospacing="1" w:line="440" w:lineRule="exact"/>
        <w:ind w:firstLine="560" w:firstLineChars="200"/>
        <w:jc w:val="left"/>
        <w:rPr>
          <w:rFonts w:ascii="宋体" w:cs="宋体"/>
          <w:color w:val="333333"/>
          <w:kern w:val="0"/>
          <w:sz w:val="24"/>
          <w:szCs w:val="24"/>
        </w:rPr>
      </w:pPr>
      <w:r>
        <w:rPr>
          <w:rFonts w:hint="eastAsia" w:ascii="仿宋_GB2312" w:hAnsi="宋体" w:eastAsia="仿宋_GB2312" w:cs="宋体"/>
          <w:color w:val="333333"/>
          <w:kern w:val="0"/>
          <w:sz w:val="28"/>
          <w:szCs w:val="28"/>
        </w:rPr>
        <w:t>联系人：</w:t>
      </w:r>
      <w:r>
        <w:rPr>
          <w:rFonts w:hint="eastAsia" w:ascii="仿宋_GB2312" w:hAnsi="宋体" w:eastAsia="仿宋_GB2312" w:cs="宋体"/>
          <w:color w:val="333333"/>
          <w:kern w:val="0"/>
          <w:sz w:val="28"/>
          <w:szCs w:val="28"/>
          <w:u w:val="single"/>
        </w:rPr>
        <w:t>　　　　</w:t>
      </w:r>
      <w:r>
        <w:rPr>
          <w:rFonts w:ascii="仿宋_GB2312" w:hAnsi="宋体" w:eastAsia="仿宋_GB2312" w:cs="宋体"/>
          <w:color w:val="333333"/>
          <w:kern w:val="0"/>
          <w:sz w:val="28"/>
          <w:szCs w:val="28"/>
          <w:u w:val="single"/>
        </w:rPr>
        <w:t xml:space="preserve">           </w:t>
      </w:r>
    </w:p>
    <w:p>
      <w:pPr>
        <w:widowControl/>
        <w:shd w:val="clear" w:color="auto" w:fill="FFFFFF"/>
        <w:spacing w:before="100" w:beforeAutospacing="1" w:after="100" w:afterAutospacing="1" w:line="440" w:lineRule="exact"/>
        <w:ind w:firstLine="560" w:firstLineChars="200"/>
        <w:jc w:val="left"/>
        <w:rPr>
          <w:rFonts w:ascii="宋体" w:cs="宋体"/>
          <w:color w:val="333333"/>
          <w:kern w:val="0"/>
          <w:sz w:val="24"/>
          <w:szCs w:val="24"/>
        </w:rPr>
      </w:pPr>
      <w:r>
        <w:rPr>
          <w:rFonts w:hint="eastAsia" w:ascii="仿宋_GB2312" w:hAnsi="宋体" w:eastAsia="仿宋_GB2312" w:cs="宋体"/>
          <w:color w:val="333333"/>
          <w:kern w:val="0"/>
          <w:sz w:val="28"/>
          <w:szCs w:val="28"/>
        </w:rPr>
        <w:t>联系电话：</w:t>
      </w:r>
      <w:r>
        <w:rPr>
          <w:rFonts w:hint="eastAsia" w:ascii="仿宋_GB2312" w:hAnsi="宋体" w:eastAsia="仿宋_GB2312" w:cs="宋体"/>
          <w:color w:val="333333"/>
          <w:kern w:val="0"/>
          <w:sz w:val="28"/>
          <w:szCs w:val="28"/>
          <w:u w:val="single"/>
        </w:rPr>
        <w:t>　　　　</w:t>
      </w:r>
      <w:r>
        <w:rPr>
          <w:rFonts w:ascii="仿宋_GB2312" w:hAnsi="宋体" w:eastAsia="仿宋_GB2312" w:cs="宋体"/>
          <w:color w:val="333333"/>
          <w:kern w:val="0"/>
          <w:sz w:val="28"/>
          <w:szCs w:val="28"/>
          <w:u w:val="single"/>
        </w:rPr>
        <w:t xml:space="preserve">            </w:t>
      </w:r>
    </w:p>
    <w:p>
      <w:pPr>
        <w:widowControl/>
        <w:shd w:val="clear" w:color="auto" w:fill="FFFFFF"/>
        <w:spacing w:before="100" w:beforeAutospacing="1" w:after="100" w:afterAutospacing="1" w:line="440" w:lineRule="exact"/>
        <w:ind w:firstLine="560" w:firstLineChars="200"/>
        <w:jc w:val="left"/>
        <w:rPr>
          <w:rFonts w:ascii="宋体" w:cs="宋体"/>
          <w:color w:val="333333"/>
          <w:kern w:val="0"/>
          <w:sz w:val="24"/>
          <w:szCs w:val="24"/>
        </w:rPr>
      </w:pPr>
      <w:r>
        <w:rPr>
          <w:rFonts w:hint="eastAsia" w:ascii="仿宋_GB2312" w:hAnsi="宋体" w:eastAsia="仿宋_GB2312" w:cs="宋体"/>
          <w:color w:val="333333"/>
          <w:kern w:val="0"/>
          <w:sz w:val="28"/>
          <w:szCs w:val="28"/>
        </w:rPr>
        <w:t>时</w:t>
      </w:r>
      <w:r>
        <w:rPr>
          <w:rFonts w:ascii="仿宋_GB2312" w:hAnsi="宋体" w:eastAsia="仿宋_GB2312" w:cs="宋体"/>
          <w:color w:val="333333"/>
          <w:kern w:val="0"/>
          <w:sz w:val="28"/>
          <w:szCs w:val="28"/>
        </w:rPr>
        <w:t xml:space="preserve">   </w:t>
      </w:r>
      <w:r>
        <w:rPr>
          <w:rFonts w:hint="eastAsia" w:ascii="仿宋_GB2312" w:hAnsi="宋体" w:eastAsia="仿宋_GB2312" w:cs="宋体"/>
          <w:color w:val="333333"/>
          <w:kern w:val="0"/>
          <w:sz w:val="28"/>
          <w:szCs w:val="28"/>
        </w:rPr>
        <w:t>间：</w:t>
      </w:r>
      <w:r>
        <w:rPr>
          <w:rFonts w:hint="eastAsia" w:ascii="仿宋_GB2312" w:hAnsi="宋体" w:eastAsia="仿宋_GB2312" w:cs="宋体"/>
          <w:color w:val="333333"/>
          <w:kern w:val="0"/>
          <w:sz w:val="28"/>
          <w:szCs w:val="28"/>
          <w:u w:val="single"/>
        </w:rPr>
        <w:t>　　　　</w:t>
      </w:r>
      <w:r>
        <w:rPr>
          <w:rFonts w:ascii="仿宋_GB2312" w:hAnsi="宋体" w:eastAsia="仿宋_GB2312" w:cs="宋体"/>
          <w:color w:val="333333"/>
          <w:kern w:val="0"/>
          <w:sz w:val="28"/>
          <w:szCs w:val="28"/>
          <w:u w:val="single"/>
        </w:rPr>
        <w:t xml:space="preserve">            </w:t>
      </w:r>
    </w:p>
    <w:p>
      <w:pPr>
        <w:widowControl/>
        <w:shd w:val="clear" w:color="auto" w:fill="FFFFFF"/>
        <w:spacing w:before="100" w:beforeAutospacing="1" w:after="100" w:afterAutospacing="1" w:line="440" w:lineRule="exact"/>
        <w:ind w:firstLine="562" w:firstLineChars="200"/>
        <w:jc w:val="left"/>
        <w:rPr>
          <w:rFonts w:ascii="宋体" w:cs="宋体"/>
          <w:color w:val="333333"/>
          <w:kern w:val="0"/>
          <w:sz w:val="24"/>
          <w:szCs w:val="24"/>
        </w:rPr>
      </w:pPr>
      <w:r>
        <w:rPr>
          <w:rFonts w:ascii="仿宋_GB2312" w:hAnsi="宋体" w:eastAsia="仿宋_GB2312" w:cs="宋体"/>
          <w:b/>
          <w:bCs/>
          <w:color w:val="333333"/>
          <w:kern w:val="0"/>
          <w:sz w:val="28"/>
          <w:szCs w:val="28"/>
        </w:rPr>
        <w:t> </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ascii="仿宋_GB2312" w:hAnsi="宋体" w:eastAsia="仿宋_GB2312" w:cs="宋体"/>
          <w:b/>
          <w:bCs/>
          <w:color w:val="333333"/>
          <w:kern w:val="0"/>
          <w:sz w:val="28"/>
          <w:szCs w:val="28"/>
        </w:rPr>
        <w:t> </w:t>
      </w:r>
    </w:p>
    <w:p>
      <w:pPr>
        <w:widowControl/>
        <w:shd w:val="clear" w:color="auto" w:fill="FFFFFF"/>
        <w:spacing w:before="100" w:beforeAutospacing="1" w:after="100" w:afterAutospacing="1" w:line="440" w:lineRule="exact"/>
        <w:jc w:val="left"/>
        <w:rPr>
          <w:rFonts w:ascii="宋体" w:cs="宋体"/>
          <w:color w:val="333333"/>
          <w:kern w:val="0"/>
          <w:sz w:val="24"/>
          <w:szCs w:val="24"/>
        </w:rPr>
      </w:pPr>
      <w:r>
        <w:rPr>
          <w:rFonts w:ascii="仿宋_GB2312" w:hAnsi="宋体" w:eastAsia="仿宋_GB2312" w:cs="宋体"/>
          <w:b/>
          <w:bCs/>
          <w:color w:val="333333"/>
          <w:kern w:val="0"/>
          <w:sz w:val="28"/>
          <w:szCs w:val="28"/>
        </w:rPr>
        <w:t> </w:t>
      </w:r>
    </w:p>
    <w:p>
      <w:pPr>
        <w:widowControl/>
        <w:shd w:val="clear" w:color="auto" w:fill="FFFFFF"/>
        <w:spacing w:before="100" w:beforeAutospacing="1" w:after="100" w:afterAutospacing="1" w:line="440" w:lineRule="exact"/>
        <w:jc w:val="left"/>
        <w:rPr>
          <w:rFonts w:ascii="仿宋_GB2312" w:hAnsi="宋体" w:eastAsia="仿宋_GB2312" w:cs="宋体"/>
          <w:color w:val="333333"/>
          <w:kern w:val="0"/>
          <w:sz w:val="24"/>
          <w:szCs w:val="24"/>
        </w:rPr>
      </w:pPr>
      <w:r>
        <w:rPr>
          <w:rFonts w:ascii="仿宋_GB2312" w:hAnsi="宋体" w:eastAsia="仿宋_GB2312" w:cs="宋体"/>
          <w:b/>
          <w:bCs/>
          <w:color w:val="333333"/>
          <w:kern w:val="0"/>
          <w:sz w:val="28"/>
          <w:szCs w:val="28"/>
        </w:rPr>
        <w:t>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T Extra">
    <w:panose1 w:val="05050102010205020202"/>
    <w:charset w:val="00"/>
    <w:family w:val="auto"/>
    <w:pitch w:val="default"/>
    <w:sig w:usb0="80000000" w:usb1="00000000" w:usb2="00000000" w:usb3="00000000" w:csb0="00000000" w:csb1="00000000"/>
  </w:font>
  <w:font w:name="Segoe UI Symbol">
    <w:panose1 w:val="020B0502040204020203"/>
    <w:charset w:val="00"/>
    <w:family w:val="auto"/>
    <w:pitch w:val="default"/>
    <w:sig w:usb0="8000006F" w:usb1="1200FBEF" w:usb2="0004C000" w:usb3="00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666"/>
    <w:rsid w:val="00012EFD"/>
    <w:rsid w:val="000200A1"/>
    <w:rsid w:val="00027FAA"/>
    <w:rsid w:val="00031CEB"/>
    <w:rsid w:val="00033083"/>
    <w:rsid w:val="00033AC2"/>
    <w:rsid w:val="00040721"/>
    <w:rsid w:val="000450AF"/>
    <w:rsid w:val="00055A0B"/>
    <w:rsid w:val="00066D11"/>
    <w:rsid w:val="00071515"/>
    <w:rsid w:val="00080265"/>
    <w:rsid w:val="00083E48"/>
    <w:rsid w:val="000A2DC9"/>
    <w:rsid w:val="000D6C7D"/>
    <w:rsid w:val="000E0026"/>
    <w:rsid w:val="000E3885"/>
    <w:rsid w:val="00102039"/>
    <w:rsid w:val="001050AC"/>
    <w:rsid w:val="00105EA5"/>
    <w:rsid w:val="00113DB3"/>
    <w:rsid w:val="001245BF"/>
    <w:rsid w:val="001276B3"/>
    <w:rsid w:val="00132B5A"/>
    <w:rsid w:val="00140855"/>
    <w:rsid w:val="00155A98"/>
    <w:rsid w:val="00156E35"/>
    <w:rsid w:val="00157990"/>
    <w:rsid w:val="00181398"/>
    <w:rsid w:val="001A40CE"/>
    <w:rsid w:val="001C7B10"/>
    <w:rsid w:val="001E1855"/>
    <w:rsid w:val="001E55D3"/>
    <w:rsid w:val="001E76F9"/>
    <w:rsid w:val="001F5BB5"/>
    <w:rsid w:val="00215FF3"/>
    <w:rsid w:val="00220DB2"/>
    <w:rsid w:val="002332C4"/>
    <w:rsid w:val="00240065"/>
    <w:rsid w:val="00256515"/>
    <w:rsid w:val="002C4567"/>
    <w:rsid w:val="002D05B2"/>
    <w:rsid w:val="002D4F4E"/>
    <w:rsid w:val="002E21FD"/>
    <w:rsid w:val="002E2C41"/>
    <w:rsid w:val="002F7ADD"/>
    <w:rsid w:val="00310073"/>
    <w:rsid w:val="0031437E"/>
    <w:rsid w:val="00323D0F"/>
    <w:rsid w:val="0033558F"/>
    <w:rsid w:val="00366D8F"/>
    <w:rsid w:val="00377565"/>
    <w:rsid w:val="003A0910"/>
    <w:rsid w:val="003A7F6D"/>
    <w:rsid w:val="003C5543"/>
    <w:rsid w:val="003E3294"/>
    <w:rsid w:val="004138B7"/>
    <w:rsid w:val="0042273D"/>
    <w:rsid w:val="004425F0"/>
    <w:rsid w:val="00474C6A"/>
    <w:rsid w:val="00476121"/>
    <w:rsid w:val="004766F7"/>
    <w:rsid w:val="00481A88"/>
    <w:rsid w:val="00484535"/>
    <w:rsid w:val="004956F7"/>
    <w:rsid w:val="00497AC4"/>
    <w:rsid w:val="004A24AB"/>
    <w:rsid w:val="004B6197"/>
    <w:rsid w:val="004E56C8"/>
    <w:rsid w:val="004F5553"/>
    <w:rsid w:val="00504B78"/>
    <w:rsid w:val="00507903"/>
    <w:rsid w:val="00527C25"/>
    <w:rsid w:val="00543BFE"/>
    <w:rsid w:val="005739B6"/>
    <w:rsid w:val="005A68C1"/>
    <w:rsid w:val="005C020B"/>
    <w:rsid w:val="005F5F8C"/>
    <w:rsid w:val="00602ED5"/>
    <w:rsid w:val="00602F0D"/>
    <w:rsid w:val="00625DBE"/>
    <w:rsid w:val="00633A56"/>
    <w:rsid w:val="00660CAF"/>
    <w:rsid w:val="00662722"/>
    <w:rsid w:val="00664B98"/>
    <w:rsid w:val="00683096"/>
    <w:rsid w:val="006835A8"/>
    <w:rsid w:val="006B2501"/>
    <w:rsid w:val="006E0C14"/>
    <w:rsid w:val="006E212E"/>
    <w:rsid w:val="006E5666"/>
    <w:rsid w:val="006E7DB2"/>
    <w:rsid w:val="007068B3"/>
    <w:rsid w:val="0071408B"/>
    <w:rsid w:val="00742765"/>
    <w:rsid w:val="00780410"/>
    <w:rsid w:val="00797413"/>
    <w:rsid w:val="007A5464"/>
    <w:rsid w:val="007B6898"/>
    <w:rsid w:val="007E6360"/>
    <w:rsid w:val="0083346C"/>
    <w:rsid w:val="00836104"/>
    <w:rsid w:val="00856CB3"/>
    <w:rsid w:val="00857395"/>
    <w:rsid w:val="008C307D"/>
    <w:rsid w:val="008F5CE6"/>
    <w:rsid w:val="00946DD0"/>
    <w:rsid w:val="00984AA1"/>
    <w:rsid w:val="009B13A2"/>
    <w:rsid w:val="009B19AA"/>
    <w:rsid w:val="009B2617"/>
    <w:rsid w:val="009B6D88"/>
    <w:rsid w:val="009F53BE"/>
    <w:rsid w:val="00A245F8"/>
    <w:rsid w:val="00A27EF9"/>
    <w:rsid w:val="00A3772C"/>
    <w:rsid w:val="00A6294F"/>
    <w:rsid w:val="00A6575E"/>
    <w:rsid w:val="00A7048D"/>
    <w:rsid w:val="00A743BB"/>
    <w:rsid w:val="00A90966"/>
    <w:rsid w:val="00AC399D"/>
    <w:rsid w:val="00AD50B0"/>
    <w:rsid w:val="00AD6D6A"/>
    <w:rsid w:val="00AF23E7"/>
    <w:rsid w:val="00AF6498"/>
    <w:rsid w:val="00B15093"/>
    <w:rsid w:val="00B52D8C"/>
    <w:rsid w:val="00B6081F"/>
    <w:rsid w:val="00B61B5E"/>
    <w:rsid w:val="00BB7A2D"/>
    <w:rsid w:val="00BD1CD6"/>
    <w:rsid w:val="00BD3742"/>
    <w:rsid w:val="00C009E6"/>
    <w:rsid w:val="00C11813"/>
    <w:rsid w:val="00C13CE9"/>
    <w:rsid w:val="00C1560C"/>
    <w:rsid w:val="00C434A5"/>
    <w:rsid w:val="00C60537"/>
    <w:rsid w:val="00C77572"/>
    <w:rsid w:val="00C933E6"/>
    <w:rsid w:val="00C97E06"/>
    <w:rsid w:val="00CA35F5"/>
    <w:rsid w:val="00CA54CB"/>
    <w:rsid w:val="00CA7D32"/>
    <w:rsid w:val="00CB3EB8"/>
    <w:rsid w:val="00CB6532"/>
    <w:rsid w:val="00CD54EF"/>
    <w:rsid w:val="00CE1F83"/>
    <w:rsid w:val="00CF235C"/>
    <w:rsid w:val="00D45C08"/>
    <w:rsid w:val="00D65364"/>
    <w:rsid w:val="00D7224A"/>
    <w:rsid w:val="00D76806"/>
    <w:rsid w:val="00DB250D"/>
    <w:rsid w:val="00DD31F1"/>
    <w:rsid w:val="00E307B2"/>
    <w:rsid w:val="00E5102E"/>
    <w:rsid w:val="00E777FD"/>
    <w:rsid w:val="00E94DF4"/>
    <w:rsid w:val="00EA06FE"/>
    <w:rsid w:val="00EA2175"/>
    <w:rsid w:val="00EA7868"/>
    <w:rsid w:val="00EB414E"/>
    <w:rsid w:val="00ED6DED"/>
    <w:rsid w:val="00EF5649"/>
    <w:rsid w:val="00F168A8"/>
    <w:rsid w:val="00F21F00"/>
    <w:rsid w:val="00F3322F"/>
    <w:rsid w:val="00F373B3"/>
    <w:rsid w:val="00FA5E42"/>
    <w:rsid w:val="00FB0ED2"/>
    <w:rsid w:val="00FE36B3"/>
    <w:rsid w:val="16E63D92"/>
    <w:rsid w:val="176432E1"/>
    <w:rsid w:val="2EAA434D"/>
    <w:rsid w:val="32116E0B"/>
    <w:rsid w:val="34791F49"/>
    <w:rsid w:val="4C512982"/>
    <w:rsid w:val="68190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qFormat="1" w:unhideWhenUsed="0" w:uiPriority="99" w:name="HTML Address"/>
    <w:lsdException w:uiPriority="99" w:name="HTML Cite"/>
    <w:lsdException w:uiPriority="99" w:name="HTML Code"/>
    <w:lsdException w:uiPriority="99" w:name="HTML Definition"/>
    <w:lsdException w:uiPriority="99" w:name="HTML Keyboard"/>
    <w:lsdException w:unhideWhenUsed="0"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7"/>
    <w:qFormat/>
    <w:uiPriority w:val="99"/>
    <w:pPr>
      <w:widowControl/>
      <w:spacing w:before="100" w:beforeAutospacing="1" w:after="100" w:afterAutospacing="1"/>
      <w:jc w:val="left"/>
      <w:outlineLvl w:val="0"/>
    </w:pPr>
    <w:rPr>
      <w:rFonts w:ascii="宋体" w:hAnsi="宋体" w:cs="宋体"/>
      <w:kern w:val="36"/>
      <w:sz w:val="24"/>
      <w:szCs w:val="24"/>
    </w:rPr>
  </w:style>
  <w:style w:type="paragraph" w:styleId="4">
    <w:name w:val="heading 2"/>
    <w:basedOn w:val="1"/>
    <w:next w:val="1"/>
    <w:link w:val="24"/>
    <w:qFormat/>
    <w:uiPriority w:val="99"/>
    <w:pPr>
      <w:widowControl/>
      <w:spacing w:before="100" w:beforeAutospacing="1" w:after="100" w:afterAutospacing="1"/>
      <w:jc w:val="left"/>
      <w:outlineLvl w:val="1"/>
    </w:pPr>
    <w:rPr>
      <w:rFonts w:ascii="宋体" w:hAnsi="宋体" w:cs="宋体"/>
      <w:kern w:val="0"/>
      <w:sz w:val="24"/>
      <w:szCs w:val="24"/>
    </w:rPr>
  </w:style>
  <w:style w:type="paragraph" w:styleId="5">
    <w:name w:val="heading 3"/>
    <w:basedOn w:val="1"/>
    <w:next w:val="1"/>
    <w:link w:val="19"/>
    <w:qFormat/>
    <w:uiPriority w:val="99"/>
    <w:pPr>
      <w:widowControl/>
      <w:spacing w:before="100" w:beforeAutospacing="1" w:after="100" w:afterAutospacing="1"/>
      <w:jc w:val="left"/>
      <w:outlineLvl w:val="2"/>
    </w:pPr>
    <w:rPr>
      <w:rFonts w:ascii="宋体" w:hAnsi="宋体" w:cs="宋体"/>
      <w:kern w:val="0"/>
      <w:sz w:val="24"/>
      <w:szCs w:val="24"/>
    </w:rPr>
  </w:style>
  <w:style w:type="paragraph" w:styleId="6">
    <w:name w:val="heading 4"/>
    <w:basedOn w:val="1"/>
    <w:next w:val="1"/>
    <w:link w:val="20"/>
    <w:qFormat/>
    <w:uiPriority w:val="99"/>
    <w:pPr>
      <w:widowControl/>
      <w:spacing w:before="100" w:beforeAutospacing="1" w:after="100" w:afterAutospacing="1"/>
      <w:jc w:val="left"/>
      <w:outlineLvl w:val="3"/>
    </w:pPr>
    <w:rPr>
      <w:rFonts w:ascii="宋体" w:hAnsi="宋体" w:cs="宋体"/>
      <w:kern w:val="0"/>
      <w:sz w:val="24"/>
      <w:szCs w:val="24"/>
    </w:rPr>
  </w:style>
  <w:style w:type="paragraph" w:styleId="7">
    <w:name w:val="heading 5"/>
    <w:basedOn w:val="1"/>
    <w:next w:val="1"/>
    <w:link w:val="25"/>
    <w:qFormat/>
    <w:uiPriority w:val="99"/>
    <w:pPr>
      <w:widowControl/>
      <w:spacing w:before="100" w:beforeAutospacing="1" w:after="100" w:afterAutospacing="1"/>
      <w:jc w:val="left"/>
      <w:outlineLvl w:val="4"/>
    </w:pPr>
    <w:rPr>
      <w:rFonts w:ascii="宋体" w:hAnsi="宋体" w:cs="宋体"/>
      <w:kern w:val="0"/>
      <w:sz w:val="24"/>
      <w:szCs w:val="24"/>
    </w:rPr>
  </w:style>
  <w:style w:type="paragraph" w:styleId="8">
    <w:name w:val="heading 6"/>
    <w:basedOn w:val="1"/>
    <w:next w:val="1"/>
    <w:link w:val="21"/>
    <w:qFormat/>
    <w:uiPriority w:val="99"/>
    <w:pPr>
      <w:widowControl/>
      <w:spacing w:before="100" w:beforeAutospacing="1" w:after="100" w:afterAutospacing="1"/>
      <w:jc w:val="left"/>
      <w:outlineLvl w:val="5"/>
    </w:pPr>
    <w:rPr>
      <w:rFonts w:ascii="宋体" w:hAnsi="宋体" w:cs="宋体"/>
      <w:kern w:val="0"/>
      <w:sz w:val="24"/>
      <w:szCs w:val="24"/>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Defaul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styleId="9">
    <w:name w:val="HTML Address"/>
    <w:basedOn w:val="1"/>
    <w:link w:val="18"/>
    <w:semiHidden/>
    <w:qFormat/>
    <w:uiPriority w:val="99"/>
    <w:pPr>
      <w:widowControl/>
      <w:jc w:val="left"/>
    </w:pPr>
    <w:rPr>
      <w:rFonts w:ascii="宋体" w:hAnsi="宋体" w:cs="宋体"/>
      <w:kern w:val="0"/>
      <w:sz w:val="24"/>
      <w:szCs w:val="24"/>
    </w:rPr>
  </w:style>
  <w:style w:type="paragraph" w:styleId="10">
    <w:name w:val="Balloon Text"/>
    <w:basedOn w:val="1"/>
    <w:link w:val="30"/>
    <w:semiHidden/>
    <w:unhideWhenUsed/>
    <w:uiPriority w:val="99"/>
    <w:rPr>
      <w:sz w:val="18"/>
      <w:szCs w:val="18"/>
    </w:rPr>
  </w:style>
  <w:style w:type="paragraph" w:styleId="11">
    <w:name w:val="footer"/>
    <w:basedOn w:val="1"/>
    <w:link w:val="22"/>
    <w:semiHidden/>
    <w:uiPriority w:val="99"/>
    <w:pPr>
      <w:tabs>
        <w:tab w:val="center" w:pos="4153"/>
        <w:tab w:val="right" w:pos="8306"/>
      </w:tabs>
      <w:snapToGrid w:val="0"/>
      <w:jc w:val="left"/>
    </w:pPr>
    <w:rPr>
      <w:sz w:val="18"/>
      <w:szCs w:val="18"/>
    </w:rPr>
  </w:style>
  <w:style w:type="paragraph" w:styleId="12">
    <w:name w:val="header"/>
    <w:basedOn w:val="1"/>
    <w:link w:val="16"/>
    <w:semiHidden/>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link w:val="23"/>
    <w:semiHidden/>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宋体"/>
      <w:kern w:val="0"/>
      <w:sz w:val="24"/>
      <w:szCs w:val="24"/>
    </w:rPr>
  </w:style>
  <w:style w:type="character" w:customStyle="1" w:styleId="16">
    <w:name w:val="页眉 Char"/>
    <w:basedOn w:val="15"/>
    <w:link w:val="12"/>
    <w:semiHidden/>
    <w:qFormat/>
    <w:locked/>
    <w:uiPriority w:val="99"/>
    <w:rPr>
      <w:rFonts w:cs="Times New Roman"/>
      <w:sz w:val="18"/>
      <w:szCs w:val="18"/>
    </w:rPr>
  </w:style>
  <w:style w:type="character" w:customStyle="1" w:styleId="17">
    <w:name w:val="标题 1 Char"/>
    <w:basedOn w:val="15"/>
    <w:link w:val="3"/>
    <w:qFormat/>
    <w:locked/>
    <w:uiPriority w:val="99"/>
    <w:rPr>
      <w:rFonts w:ascii="宋体" w:hAnsi="宋体" w:eastAsia="宋体" w:cs="宋体"/>
      <w:kern w:val="36"/>
      <w:sz w:val="24"/>
      <w:szCs w:val="24"/>
    </w:rPr>
  </w:style>
  <w:style w:type="character" w:customStyle="1" w:styleId="18">
    <w:name w:val="HTML 地址 Char"/>
    <w:basedOn w:val="15"/>
    <w:link w:val="9"/>
    <w:semiHidden/>
    <w:locked/>
    <w:uiPriority w:val="99"/>
    <w:rPr>
      <w:rFonts w:ascii="宋体" w:hAnsi="宋体" w:eastAsia="宋体" w:cs="宋体"/>
      <w:kern w:val="0"/>
      <w:sz w:val="24"/>
      <w:szCs w:val="24"/>
    </w:rPr>
  </w:style>
  <w:style w:type="character" w:customStyle="1" w:styleId="19">
    <w:name w:val="标题 3 Char"/>
    <w:basedOn w:val="15"/>
    <w:link w:val="5"/>
    <w:locked/>
    <w:uiPriority w:val="99"/>
    <w:rPr>
      <w:rFonts w:ascii="宋体" w:hAnsi="宋体" w:eastAsia="宋体" w:cs="宋体"/>
      <w:kern w:val="0"/>
      <w:sz w:val="24"/>
      <w:szCs w:val="24"/>
    </w:rPr>
  </w:style>
  <w:style w:type="character" w:customStyle="1" w:styleId="20">
    <w:name w:val="标题 4 Char"/>
    <w:basedOn w:val="15"/>
    <w:link w:val="6"/>
    <w:locked/>
    <w:uiPriority w:val="99"/>
    <w:rPr>
      <w:rFonts w:ascii="宋体" w:hAnsi="宋体" w:eastAsia="宋体" w:cs="宋体"/>
      <w:kern w:val="0"/>
      <w:sz w:val="24"/>
      <w:szCs w:val="24"/>
    </w:rPr>
  </w:style>
  <w:style w:type="character" w:customStyle="1" w:styleId="21">
    <w:name w:val="标题 6 Char"/>
    <w:basedOn w:val="15"/>
    <w:link w:val="8"/>
    <w:locked/>
    <w:uiPriority w:val="99"/>
    <w:rPr>
      <w:rFonts w:ascii="宋体" w:hAnsi="宋体" w:eastAsia="宋体" w:cs="宋体"/>
      <w:kern w:val="0"/>
      <w:sz w:val="24"/>
      <w:szCs w:val="24"/>
    </w:rPr>
  </w:style>
  <w:style w:type="character" w:customStyle="1" w:styleId="22">
    <w:name w:val="页脚 Char"/>
    <w:basedOn w:val="15"/>
    <w:link w:val="11"/>
    <w:semiHidden/>
    <w:locked/>
    <w:uiPriority w:val="99"/>
    <w:rPr>
      <w:rFonts w:cs="Times New Roman"/>
      <w:sz w:val="18"/>
      <w:szCs w:val="18"/>
    </w:rPr>
  </w:style>
  <w:style w:type="character" w:customStyle="1" w:styleId="23">
    <w:name w:val="HTML 预设格式 Char"/>
    <w:basedOn w:val="15"/>
    <w:link w:val="13"/>
    <w:semiHidden/>
    <w:locked/>
    <w:uiPriority w:val="99"/>
    <w:rPr>
      <w:rFonts w:ascii="Courier New" w:hAnsi="Courier New" w:eastAsia="宋体" w:cs="宋体"/>
      <w:kern w:val="0"/>
      <w:sz w:val="24"/>
      <w:szCs w:val="24"/>
    </w:rPr>
  </w:style>
  <w:style w:type="character" w:customStyle="1" w:styleId="24">
    <w:name w:val="标题 2 Char"/>
    <w:basedOn w:val="15"/>
    <w:link w:val="4"/>
    <w:locked/>
    <w:uiPriority w:val="99"/>
    <w:rPr>
      <w:rFonts w:ascii="宋体" w:hAnsi="宋体" w:eastAsia="宋体" w:cs="宋体"/>
      <w:kern w:val="0"/>
      <w:sz w:val="24"/>
      <w:szCs w:val="24"/>
    </w:rPr>
  </w:style>
  <w:style w:type="character" w:customStyle="1" w:styleId="25">
    <w:name w:val="标题 5 Char"/>
    <w:basedOn w:val="15"/>
    <w:link w:val="7"/>
    <w:locked/>
    <w:uiPriority w:val="99"/>
    <w:rPr>
      <w:rFonts w:ascii="宋体" w:hAnsi="宋体" w:eastAsia="宋体" w:cs="宋体"/>
      <w:kern w:val="0"/>
      <w:sz w:val="24"/>
      <w:szCs w:val="24"/>
    </w:rPr>
  </w:style>
  <w:style w:type="paragraph" w:customStyle="1" w:styleId="26">
    <w:name w:val="列出段落1"/>
    <w:basedOn w:val="1"/>
    <w:uiPriority w:val="99"/>
    <w:pPr>
      <w:widowControl/>
      <w:ind w:firstLine="420"/>
    </w:pPr>
    <w:rPr>
      <w:rFonts w:cs="Calibri"/>
      <w:kern w:val="0"/>
      <w:szCs w:val="21"/>
    </w:rPr>
  </w:style>
  <w:style w:type="paragraph" w:customStyle="1" w:styleId="27">
    <w:name w:val="样式5"/>
    <w:basedOn w:val="1"/>
    <w:uiPriority w:val="99"/>
    <w:rPr>
      <w:rFonts w:ascii="宋体" w:hAnsi="Times New Roman" w:cs="宋体"/>
      <w:sz w:val="24"/>
      <w:szCs w:val="24"/>
    </w:rPr>
  </w:style>
  <w:style w:type="paragraph" w:styleId="28">
    <w:name w:val="List Paragraph"/>
    <w:basedOn w:val="1"/>
    <w:qFormat/>
    <w:uiPriority w:val="34"/>
    <w:pPr>
      <w:widowControl/>
      <w:ind w:firstLine="420" w:firstLineChars="200"/>
      <w:jc w:val="left"/>
    </w:pPr>
    <w:rPr>
      <w:kern w:val="0"/>
      <w:sz w:val="22"/>
    </w:rPr>
  </w:style>
  <w:style w:type="character" w:styleId="29">
    <w:name w:val="Placeholder Text"/>
    <w:basedOn w:val="15"/>
    <w:semiHidden/>
    <w:uiPriority w:val="99"/>
    <w:rPr>
      <w:color w:val="808080"/>
    </w:rPr>
  </w:style>
  <w:style w:type="character" w:customStyle="1" w:styleId="30">
    <w:name w:val="批注框文本 Char"/>
    <w:basedOn w:val="15"/>
    <w:link w:val="10"/>
    <w:semiHidden/>
    <w:uiPriority w:val="99"/>
    <w:rPr>
      <w:rFonts w:ascii="Calibri" w:hAnsi="Calibri"/>
      <w:kern w:val="2"/>
      <w:sz w:val="18"/>
      <w:szCs w:val="18"/>
    </w:rPr>
  </w:style>
  <w:style w:type="paragraph" w:customStyle="1" w:styleId="31">
    <w:name w:val="15"/>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2">
    <w:name w:val="Table Paragraph"/>
    <w:basedOn w:val="1"/>
    <w:qFormat/>
    <w:uiPriority w:val="1"/>
    <w:pPr>
      <w:jc w:val="center"/>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600726-068A-406D-A7A7-E1721F771A1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958</Words>
  <Characters>5464</Characters>
  <Lines>45</Lines>
  <Paragraphs>12</Paragraphs>
  <TotalTime>254</TotalTime>
  <ScaleCrop>false</ScaleCrop>
  <LinksUpToDate>false</LinksUpToDate>
  <CharactersWithSpaces>6410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2021-12-29T01:35:00Z</dcterms:created>
  <dc:creator>User</dc:creator>
  <cp:lastModifiedBy>小明</cp:lastModifiedBy>
  <cp:lastPrinted>2021-12-30T01:23:00Z</cp:lastPrinted>
  <dcterms:modified xsi:type="dcterms:W3CDTF">2022-01-13T07:48:46Z</dcterms:modified>
  <dc:title>启东市人民医院经颅磁刺激仪采购项目采购需求</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B8C92F05DE9B4AC29A91F76434F8F8A6</vt:lpwstr>
  </property>
</Properties>
</file>